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ENet</w:t>
      </w:r>
    </w:p>
    <w:p>
      <w:pPr>
        <w:jc w:val="center"/>
      </w:pPr>
      <w:r>
        <w:rPr>
          <w:b/>
        </w:rPr>
        <w:t>Duality AI Hackathon Submission</w:t>
      </w:r>
    </w:p>
    <w:p>
      <w:pPr>
        <w:jc w:val="center"/>
      </w:pPr>
      <w:r>
        <w:rPr>
          <w:b/>
          <w:sz w:val="28"/>
        </w:rPr>
        <w:t>Team:  SwiftCore</w:t>
      </w:r>
    </w:p>
    <w:p>
      <w:pPr>
        <w:jc w:val="center"/>
      </w:pPr>
      <w:r>
        <w:rPr>
          <w:i/>
        </w:rPr>
        <w:t>Ultra lightweight highly optimized architecture specifically designed for low latency edge deployment.</w:t>
      </w:r>
    </w:p>
    <w:p/>
    <w:p>
      <w:pPr>
        <w:jc w:val="center"/>
      </w:pPr>
      <w:r>
        <w:rPr>
          <w:b/>
        </w:rPr>
        <w:t>Architecture: ENet     |</w:t>
      </w:r>
      <w:r>
        <w:rPr>
          <w:b/>
        </w:rPr>
        <w:t xml:space="preserve">  Best IoU: 0.2877</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Efficient Neural Network (ENet) leverages asymmetric convolutions and early downsampling. By abandoning the symmetric encoder-decoder paradigm, it massively reduces floating point operations.</w:t>
      </w:r>
    </w:p>
    <w:p>
      <w:pPr>
        <w:pStyle w:val="Heading2"/>
      </w:pPr>
      <w:r>
        <w:t>Training Strategy</w:t>
      </w:r>
    </w:p>
    <w:p>
      <w:r>
        <w:t>Trained entirely from scratch without transfer learning. A heavy class weighted Cross Entropy loss was utilized to penalize errors on underrepresented classes.</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0.2877</w:t>
            </w:r>
          </w:p>
        </w:tc>
      </w:tr>
      <w:tr>
        <w:tc>
          <w:tcPr>
            <w:tcW w:type="dxa" w:w="4986"/>
          </w:tcPr>
          <w:p>
            <w:r>
              <w:t>Final Mean IoU</w:t>
            </w:r>
          </w:p>
        </w:tc>
        <w:tc>
          <w:tcPr>
            <w:tcW w:type="dxa" w:w="4986"/>
          </w:tcPr>
          <w:p>
            <w:r>
              <w:t>0.2877</w:t>
            </w:r>
          </w:p>
        </w:tc>
      </w:tr>
      <w:tr>
        <w:tc>
          <w:tcPr>
            <w:tcW w:type="dxa" w:w="4986"/>
          </w:tcPr>
          <w:p>
            <w:r>
              <w:t>Best Epoch</w:t>
            </w:r>
          </w:p>
        </w:tc>
        <w:tc>
          <w:tcPr>
            <w:tcW w:type="dxa" w:w="4986"/>
          </w:tcPr>
          <w:p>
            <w:r>
              <w:t>11</w:t>
            </w:r>
          </w:p>
        </w:tc>
      </w:tr>
      <w:tr>
        <w:tc>
          <w:tcPr>
            <w:tcW w:type="dxa" w:w="4986"/>
          </w:tcPr>
          <w:p>
            <w:r>
              <w:t>Convergence Epoch</w:t>
            </w:r>
          </w:p>
        </w:tc>
        <w:tc>
          <w:tcPr>
            <w:tcW w:type="dxa" w:w="4986"/>
          </w:tcPr>
          <w:p>
            <w:r>
              <w:t>7</w:t>
            </w:r>
          </w:p>
        </w:tc>
      </w:tr>
      <w:tr>
        <w:tc>
          <w:tcPr>
            <w:tcW w:type="dxa" w:w="4986"/>
          </w:tcPr>
          <w:p>
            <w:r>
              <w:t>Final Train Loss</w:t>
            </w:r>
          </w:p>
        </w:tc>
        <w:tc>
          <w:tcPr>
            <w:tcW w:type="dxa" w:w="4986"/>
          </w:tcPr>
          <w:p>
            <w:r>
              <w:t>0.9575</w:t>
            </w:r>
          </w:p>
        </w:tc>
      </w:tr>
      <w:tr>
        <w:tc>
          <w:tcPr>
            <w:tcW w:type="dxa" w:w="4986"/>
          </w:tcPr>
          <w:p>
            <w:r>
              <w:t>Final Val Loss</w:t>
            </w:r>
          </w:p>
        </w:tc>
        <w:tc>
          <w:tcPr>
            <w:tcW w:type="dxa" w:w="4986"/>
          </w:tcPr>
          <w:p>
            <w:r>
              <w:t>0.8498</w:t>
            </w:r>
          </w:p>
        </w:tc>
      </w:tr>
      <w:tr>
        <w:tc>
          <w:tcPr>
            <w:tcW w:type="dxa" w:w="4986"/>
          </w:tcPr>
          <w:p>
            <w:r>
              <w:t>Model Size (MB)</w:t>
            </w:r>
          </w:p>
        </w:tc>
        <w:tc>
          <w:tcPr>
            <w:tcW w:type="dxa" w:w="4986"/>
          </w:tcPr>
          <w:p>
            <w:r>
              <w:t>4.55</w:t>
            </w:r>
          </w:p>
        </w:tc>
      </w:tr>
      <w:tr>
        <w:tc>
          <w:tcPr>
            <w:tcW w:type="dxa" w:w="4986"/>
          </w:tcPr>
          <w:p>
            <w:r>
              <w:t>Parameters (M)</w:t>
            </w:r>
          </w:p>
        </w:tc>
        <w:tc>
          <w:tcPr>
            <w:tcW w:type="dxa" w:w="4986"/>
          </w:tcPr>
          <w:p>
            <w:r>
              <w:t>0.36</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0.9375</w:t>
            </w:r>
          </w:p>
        </w:tc>
        <w:tc>
          <w:tcPr>
            <w:tcW w:type="dxa" w:w="3324"/>
          </w:tcPr>
          <w:p>
            <w:r>
              <w:t>Good</w:t>
            </w:r>
          </w:p>
        </w:tc>
      </w:tr>
      <w:tr>
        <w:tc>
          <w:tcPr>
            <w:tcW w:type="dxa" w:w="3324"/>
          </w:tcPr>
          <w:p>
            <w:r>
              <w:t>Trees</w:t>
            </w:r>
          </w:p>
        </w:tc>
        <w:tc>
          <w:tcPr>
            <w:tcW w:type="dxa" w:w="3324"/>
          </w:tcPr>
          <w:p>
            <w:r>
              <w:t>0.6144</w:t>
            </w:r>
          </w:p>
        </w:tc>
        <w:tc>
          <w:tcPr>
            <w:tcW w:type="dxa" w:w="3324"/>
          </w:tcPr>
          <w:p>
            <w:r>
              <w:t>Good</w:t>
            </w:r>
          </w:p>
        </w:tc>
      </w:tr>
      <w:tr>
        <w:tc>
          <w:tcPr>
            <w:tcW w:type="dxa" w:w="3324"/>
          </w:tcPr>
          <w:p>
            <w:r>
              <w:t>Lush Bushes</w:t>
            </w:r>
          </w:p>
        </w:tc>
        <w:tc>
          <w:tcPr>
            <w:tcW w:type="dxa" w:w="3324"/>
          </w:tcPr>
          <w:p>
            <w:r>
              <w:t>0.5181</w:t>
            </w:r>
          </w:p>
        </w:tc>
        <w:tc>
          <w:tcPr>
            <w:tcW w:type="dxa" w:w="3324"/>
          </w:tcPr>
          <w:p>
            <w:r>
              <w:t>Good</w:t>
            </w:r>
          </w:p>
        </w:tc>
      </w:tr>
      <w:tr>
        <w:tc>
          <w:tcPr>
            <w:tcW w:type="dxa" w:w="3324"/>
          </w:tcPr>
          <w:p>
            <w:r>
              <w:t>Dry Grass</w:t>
            </w:r>
          </w:p>
        </w:tc>
        <w:tc>
          <w:tcPr>
            <w:tcW w:type="dxa" w:w="3324"/>
          </w:tcPr>
          <w:p>
            <w:r>
              <w:t>0.4553</w:t>
            </w:r>
          </w:p>
        </w:tc>
        <w:tc>
          <w:tcPr>
            <w:tcW w:type="dxa" w:w="3324"/>
          </w:tcPr>
          <w:p>
            <w:r>
              <w:t>Moderate</w:t>
            </w:r>
          </w:p>
        </w:tc>
      </w:tr>
      <w:tr>
        <w:tc>
          <w:tcPr>
            <w:tcW w:type="dxa" w:w="3324"/>
          </w:tcPr>
          <w:p>
            <w:r>
              <w:t>Background</w:t>
            </w:r>
          </w:p>
        </w:tc>
        <w:tc>
          <w:tcPr>
            <w:tcW w:type="dxa" w:w="3324"/>
          </w:tcPr>
          <w:p>
            <w:r>
              <w:t>0.3175</w:t>
            </w:r>
          </w:p>
        </w:tc>
        <w:tc>
          <w:tcPr>
            <w:tcW w:type="dxa" w:w="3324"/>
          </w:tcPr>
          <w:p>
            <w:r>
              <w:t>Moderate</w:t>
            </w:r>
          </w:p>
        </w:tc>
      </w:tr>
      <w:tr>
        <w:tc>
          <w:tcPr>
            <w:tcW w:type="dxa" w:w="3324"/>
          </w:tcPr>
          <w:p>
            <w:r>
              <w:t>Ground Clutter</w:t>
            </w:r>
          </w:p>
        </w:tc>
        <w:tc>
          <w:tcPr>
            <w:tcW w:type="dxa" w:w="3324"/>
          </w:tcPr>
          <w:p>
            <w:r>
              <w:t>0.1560</w:t>
            </w:r>
          </w:p>
        </w:tc>
        <w:tc>
          <w:tcPr>
            <w:tcW w:type="dxa" w:w="3324"/>
          </w:tcPr>
          <w:p>
            <w:r>
              <w:t>Poor</w:t>
            </w:r>
          </w:p>
        </w:tc>
      </w:tr>
      <w:tr>
        <w:tc>
          <w:tcPr>
            <w:tcW w:type="dxa" w:w="3324"/>
          </w:tcPr>
          <w:p>
            <w:r>
              <w:t>Dry Bushes</w:t>
            </w:r>
          </w:p>
        </w:tc>
        <w:tc>
          <w:tcPr>
            <w:tcW w:type="dxa" w:w="3324"/>
          </w:tcPr>
          <w:p>
            <w:r>
              <w:t>0.1484</w:t>
            </w:r>
          </w:p>
        </w:tc>
        <w:tc>
          <w:tcPr>
            <w:tcW w:type="dxa" w:w="3324"/>
          </w:tcPr>
          <w:p>
            <w:r>
              <w:t>Poor</w:t>
            </w:r>
          </w:p>
        </w:tc>
      </w:tr>
      <w:tr>
        <w:tc>
          <w:tcPr>
            <w:tcW w:type="dxa" w:w="3324"/>
          </w:tcPr>
          <w:p>
            <w:r>
              <w:t>Landscape</w:t>
            </w:r>
          </w:p>
        </w:tc>
        <w:tc>
          <w:tcPr>
            <w:tcW w:type="dxa" w:w="3324"/>
          </w:tcPr>
          <w:p>
            <w:r>
              <w:t>0.1292</w:t>
            </w:r>
          </w:p>
        </w:tc>
        <w:tc>
          <w:tcPr>
            <w:tcW w:type="dxa" w:w="3324"/>
          </w:tcPr>
          <w:p>
            <w:r>
              <w:t>Poor</w:t>
            </w:r>
          </w:p>
        </w:tc>
      </w:tr>
      <w:tr>
        <w:tc>
          <w:tcPr>
            <w:tcW w:type="dxa" w:w="3324"/>
          </w:tcPr>
          <w:p>
            <w:r>
              <w:t>Rocks</w:t>
            </w:r>
          </w:p>
        </w:tc>
        <w:tc>
          <w:tcPr>
            <w:tcW w:type="dxa" w:w="3324"/>
          </w:tcPr>
          <w:p>
            <w:r>
              <w:t>0.0913</w:t>
            </w:r>
          </w:p>
        </w:tc>
        <w:tc>
          <w:tcPr>
            <w:tcW w:type="dxa" w:w="3324"/>
          </w:tcPr>
          <w:p>
            <w:r>
              <w:t>Poor</w:t>
            </w:r>
          </w:p>
        </w:tc>
      </w:tr>
      <w:tr>
        <w:tc>
          <w:tcPr>
            <w:tcW w:type="dxa" w:w="3324"/>
          </w:tcPr>
          <w:p>
            <w:r>
              <w:t>Logs</w:t>
            </w:r>
          </w:p>
        </w:tc>
        <w:tc>
          <w:tcPr>
            <w:tcW w:type="dxa" w:w="3324"/>
          </w:tcPr>
          <w:p>
            <w:r>
              <w:t>0.0260</w:t>
            </w:r>
          </w:p>
        </w:tc>
        <w:tc>
          <w:tcPr>
            <w:tcW w:type="dxa" w:w="3324"/>
          </w:tcPr>
          <w:p>
            <w:r>
              <w:t>Poor</w:t>
            </w:r>
          </w:p>
        </w:tc>
      </w:tr>
    </w:tbl>
    <w:p>
      <w:pPr>
        <w:pStyle w:val="Heading2"/>
      </w:pPr>
      <w:r>
        <w:t>Confusion Matrix</w:t>
      </w:r>
    </w:p>
    <w:p>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943600" cy="4754880"/>
                    </a:xfrm>
                    <a:prstGeom prst="rect"/>
                  </pic:spPr>
                </pic:pic>
              </a:graphicData>
            </a:graphic>
          </wp:inline>
        </w:drawing>
      </w:r>
    </w:p>
    <w:p>
      <w:r>
        <w:t>The most common misclassification pairs observed were: Landscape mistaken as Ground Clutter, Dry Grass mistaken as Dry Bushes, Ground Clutter mistaken as Rocks. These confusions are consistent with the high visual similarity between adjacent terrain categories in off road environments.</w:t>
      </w:r>
    </w:p>
    <w:p>
      <w:pPr>
        <w:pStyle w:val="Heading2"/>
      </w:pPr>
      <w:r>
        <w:t>Prediction Examples</w:t>
      </w:r>
    </w:p>
    <w:p>
      <w:r>
        <w:drawing>
          <wp:inline xmlns:a="http://schemas.openxmlformats.org/drawingml/2006/main" xmlns:pic="http://schemas.openxmlformats.org/drawingml/2006/picture">
            <wp:extent cx="5943600" cy="5943600"/>
            <wp:docPr id="4" name="Picture 4"/>
            <wp:cNvGraphicFramePr>
              <a:graphicFrameLocks noChangeAspect="1"/>
            </wp:cNvGraphicFramePr>
            <a:graphic>
              <a:graphicData uri="http://schemas.openxmlformats.org/drawingml/2006/picture">
                <pic:pic>
                  <pic:nvPicPr>
                    <pic:cNvPr id="0" name="prediction_grid.png"/>
                    <pic:cNvPicPr/>
                  </pic:nvPicPr>
                  <pic:blipFill>
                    <a:blip r:embed="rId12"/>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Dry Bushes, Ground Clutter, Logs, Rocks accounted for less than 5% of validation pixels, while dominant classes (Sky)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ailure_analysis.png"/>
                    <pic:cNvPicPr/>
                  </pic:nvPicPr>
                  <pic:blipFill>
                    <a:blip r:embed="rId13"/>
                    <a:stretch>
                      <a:fillRect/>
                    </a:stretch>
                  </pic:blipFill>
                  <pic:spPr>
                    <a:xfrm>
                      <a:off x="0" y="0"/>
                      <a:ext cx="5943600" cy="3962400"/>
                    </a:xfrm>
                    <a:prstGeom prst="rect"/>
                  </pic:spPr>
                </pic:pic>
              </a:graphicData>
            </a:graphic>
          </wp:inline>
        </w:drawing>
      </w:r>
    </w:p>
    <w:p>
      <w:r>
        <w:t>Logs (IoU: 0.0260): The model consistently confused this class with Background. This stems from the high visual similarity between these terrain types under varying lighting conditions   both share similar colour histograms and texture frequencies at 128×128 resolution.</w:t>
      </w:r>
    </w:p>
    <w:p>
      <w:r>
        <w:t>Rocks (IoU: 0.0913): The model consistently confused this class with Ground Clutter. This stems from the high visual similarity between these terrain types under varying lighting conditions   both share similar colour histograms and texture frequencies at 128×128 resolution.</w:t>
      </w:r>
    </w:p>
    <w:p>
      <w:r>
        <w:t>Landscape (IoU: 0.1292): The model consistently confused this class with Rocks. This stems from the high visual similarity between these terrain types under varying lighting conditions   both share similar colour histograms and texture frequencies at 128×128 resolution.</w:t>
      </w:r>
    </w:p>
    <w:p>
      <w:pPr>
        <w:pStyle w:val="Heading3"/>
      </w:pPr>
      <w:r>
        <w:t>Current Limitation</w:t>
      </w:r>
    </w:p>
    <w:p>
      <w:r>
        <w:t>All classes achieved at least partial IoU scores. Remaining low-performing classes represent a current limitation that Future Work will address.</w:t>
      </w:r>
    </w:p>
    <w:p>
      <w:r>
        <w:br w:type="page"/>
      </w:r>
    </w:p>
    <w:p>
      <w:pPr>
        <w:pStyle w:val="Heading1"/>
      </w:pPr>
      <w:r>
        <w:t>Conclusion &amp; Future Work</w:t>
      </w:r>
    </w:p>
    <w:p>
      <w:pPr>
        <w:pStyle w:val="Heading2"/>
      </w:pPr>
      <w:r>
        <w:t>Conclusion</w:t>
      </w:r>
    </w:p>
    <w:p>
      <w:r>
        <w:t>This submission presents a ENet based semantic segmentation model trained entirely from scratch on the Duality AI Offroad Segmentation Dataset under CPU only constraints. The model achieved a best mean IoU of 0.2877 at epoch 11,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Compare with U Net skip connections to assess spatial preservation tradeoffs.</w:t>
      </w:r>
    </w:p>
    <w:p>
      <w:pPr>
        <w:pStyle w:val="ListBullet"/>
      </w:pPr>
      <w:r>
        <w:t>Try dilated convolutions in the bottleneck for larger receptive fields.</w:t>
      </w:r>
    </w:p>
    <w:p>
      <w:pPr>
        <w:pStyle w:val="ListBullet"/>
      </w:pPr>
      <w:r>
        <w:t>Experiment with a Dice Loss auxiliary head.</w:t>
      </w:r>
    </w:p>
    <w:p>
      <w:pPr>
        <w:pStyle w:val="ListBullet"/>
      </w:pPr>
      <w:r>
        <w:t>Add color and texture augmentations to address near zero IoU classes.</w:t>
      </w:r>
    </w:p>
    <w:p>
      <w:r>
        <w:br w:type="page"/>
      </w:r>
    </w:p>
    <w:p>
      <w:pPr>
        <w:pStyle w:val="Heading1"/>
      </w:pPr>
      <w:r>
        <w:t>Appendix</w:t>
      </w:r>
    </w:p>
    <w:p>
      <w:r>
        <w:t>Project directory: D:\kfiles\aarvak files\Offroad_Autonomy_Segmentation_Model\duality project\Offroad_Segmentation_Scripts\Duality_Submission\Duality_Submission_Package\ENet</w:t>
      </w:r>
    </w:p>
    <w:p>
      <w:r>
        <w:t>Best model checkpoint: D:\kfiles\aarvak files\Offroad_Autonomy_Segmentation_Model\duality project\Offroad_Segmentation_Scripts\Duality_Submission\Duality_Submission_Package\ENet\enet_best.pth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