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6B63" w14:textId="77777777" w:rsidR="009D6C83" w:rsidRPr="00E15BEA" w:rsidRDefault="009D6C83" w:rsidP="00F378E5"/>
    <w:p w14:paraId="778590E6" w14:textId="77777777" w:rsidR="009D6C83" w:rsidRPr="00E15BEA" w:rsidRDefault="00830EFB">
      <w:pPr>
        <w:spacing w:after="80"/>
        <w:jc w:val="center"/>
        <w:rPr>
          <w:rFonts w:ascii="Times New Roman" w:hAnsi="Times New Roman" w:cs="Times New Roman"/>
          <w:color w:val="auto"/>
        </w:rPr>
      </w:pPr>
      <w:r w:rsidRPr="00E15BEA">
        <w:rPr>
          <w:rFonts w:ascii="Times New Roman" w:hAnsi="Times New Roman" w:cs="Times New Roman"/>
          <w:b/>
          <w:bCs/>
          <w:color w:val="auto"/>
          <w:sz w:val="40"/>
          <w:szCs w:val="40"/>
        </w:rPr>
        <w:t>CARE TRANSITION EFFICIENCY AND PLACEMENT</w:t>
      </w:r>
    </w:p>
    <w:p w14:paraId="5A14C2E3" w14:textId="77777777" w:rsidR="009D6C83" w:rsidRPr="00E15BEA" w:rsidRDefault="00830EFB">
      <w:pPr>
        <w:spacing w:after="320"/>
        <w:jc w:val="center"/>
        <w:rPr>
          <w:rFonts w:ascii="Times New Roman" w:hAnsi="Times New Roman" w:cs="Times New Roman"/>
          <w:color w:val="auto"/>
        </w:rPr>
      </w:pPr>
      <w:r w:rsidRPr="00E15BEA">
        <w:rPr>
          <w:rFonts w:ascii="Times New Roman" w:hAnsi="Times New Roman" w:cs="Times New Roman"/>
          <w:b/>
          <w:bCs/>
          <w:color w:val="auto"/>
          <w:sz w:val="40"/>
          <w:szCs w:val="40"/>
        </w:rPr>
        <w:t>OUTCOME ANALYTICS</w:t>
      </w:r>
    </w:p>
    <w:p w14:paraId="698557B4" w14:textId="77777777" w:rsidR="009D6C83" w:rsidRPr="00E15BEA" w:rsidRDefault="00830EFB">
      <w:pPr>
        <w:spacing w:after="60"/>
        <w:jc w:val="center"/>
        <w:rPr>
          <w:rFonts w:ascii="Times New Roman" w:hAnsi="Times New Roman" w:cs="Times New Roman"/>
          <w:color w:val="auto"/>
        </w:rPr>
      </w:pPr>
      <w:r w:rsidRPr="00E15BEA">
        <w:rPr>
          <w:rFonts w:ascii="Times New Roman" w:hAnsi="Times New Roman" w:cs="Times New Roman"/>
          <w:i/>
          <w:iCs/>
          <w:color w:val="auto"/>
          <w:sz w:val="26"/>
          <w:szCs w:val="26"/>
        </w:rPr>
        <w:t>A Process Efficiency and Outcome Evaluation of the</w:t>
      </w:r>
    </w:p>
    <w:p w14:paraId="3B827B0B" w14:textId="77777777" w:rsidR="009D6C83" w:rsidRPr="00E15BEA" w:rsidRDefault="00830EFB">
      <w:pPr>
        <w:spacing w:after="600"/>
        <w:jc w:val="center"/>
        <w:rPr>
          <w:rFonts w:ascii="Times New Roman" w:hAnsi="Times New Roman" w:cs="Times New Roman"/>
          <w:color w:val="auto"/>
        </w:rPr>
      </w:pPr>
      <w:r w:rsidRPr="00E15BEA">
        <w:rPr>
          <w:rFonts w:ascii="Times New Roman" w:hAnsi="Times New Roman" w:cs="Times New Roman"/>
          <w:i/>
          <w:iCs/>
          <w:color w:val="auto"/>
          <w:sz w:val="26"/>
          <w:szCs w:val="26"/>
        </w:rPr>
        <w:t>Unaccompanied Alien Children (UAC) Care Pipeline</w:t>
      </w:r>
    </w:p>
    <w:p w14:paraId="17B728FE" w14:textId="77777777" w:rsidR="009D6C83" w:rsidRPr="00E15BEA" w:rsidRDefault="00830EFB">
      <w:pPr>
        <w:pBdr>
          <w:top w:val="single" w:sz="4" w:space="8" w:color="D9D9D9"/>
        </w:pBdr>
        <w:spacing w:after="80"/>
        <w:jc w:val="center"/>
        <w:rPr>
          <w:rFonts w:ascii="Times New Roman" w:hAnsi="Times New Roman" w:cs="Times New Roman"/>
          <w:color w:val="auto"/>
        </w:rPr>
      </w:pPr>
      <w:r w:rsidRPr="00E15BEA">
        <w:rPr>
          <w:rFonts w:ascii="Times New Roman" w:hAnsi="Times New Roman" w:cs="Times New Roman"/>
          <w:color w:val="auto"/>
          <w:sz w:val="2"/>
          <w:szCs w:val="2"/>
        </w:rPr>
        <w:t xml:space="preserve"> </w:t>
      </w:r>
    </w:p>
    <w:p w14:paraId="68AC6380" w14:textId="77777777" w:rsidR="009D6C83" w:rsidRPr="00DC669D" w:rsidRDefault="00830EFB" w:rsidP="00E336CA">
      <w:pPr>
        <w:spacing w:before="800" w:after="40"/>
        <w:jc w:val="center"/>
        <w:rPr>
          <w:rFonts w:ascii="Times New Roman" w:hAnsi="Times New Roman" w:cs="Times New Roman"/>
          <w:color w:val="auto"/>
          <w:sz w:val="24"/>
          <w:szCs w:val="24"/>
        </w:rPr>
      </w:pPr>
      <w:r w:rsidRPr="00DC669D">
        <w:rPr>
          <w:rFonts w:ascii="Times New Roman" w:hAnsi="Times New Roman" w:cs="Times New Roman"/>
          <w:b/>
          <w:bCs/>
          <w:color w:val="auto"/>
          <w:sz w:val="28"/>
          <w:szCs w:val="28"/>
        </w:rPr>
        <w:t>Research Paper</w:t>
      </w:r>
    </w:p>
    <w:p w14:paraId="3074C9ED" w14:textId="0211E3F8" w:rsidR="00DC669D" w:rsidRDefault="00DC669D">
      <w:pPr>
        <w:spacing w:after="40"/>
        <w:jc w:val="center"/>
        <w:rPr>
          <w:rFonts w:ascii="Times New Roman" w:hAnsi="Times New Roman" w:cs="Times New Roman"/>
        </w:rPr>
      </w:pPr>
      <w:r w:rsidRPr="00DC669D">
        <w:rPr>
          <w:rFonts w:ascii="Times New Roman" w:hAnsi="Times New Roman" w:cs="Times New Roman"/>
          <w:b/>
          <w:bCs/>
        </w:rPr>
        <w:t>Author:</w:t>
      </w:r>
      <w:r>
        <w:rPr>
          <w:rFonts w:ascii="Times New Roman" w:hAnsi="Times New Roman" w:cs="Times New Roman"/>
        </w:rPr>
        <w:t xml:space="preserve"> </w:t>
      </w:r>
      <w:r w:rsidR="00861061">
        <w:rPr>
          <w:rFonts w:ascii="Times New Roman" w:hAnsi="Times New Roman" w:cs="Times New Roman"/>
          <w:b/>
          <w:bCs/>
        </w:rPr>
        <w:t>Keshav Sinha</w:t>
      </w:r>
    </w:p>
    <w:p w14:paraId="38720D6D" w14:textId="700CA723" w:rsidR="009D6C83" w:rsidRPr="00E15BEA" w:rsidRDefault="00830EFB">
      <w:pPr>
        <w:spacing w:after="40"/>
        <w:jc w:val="center"/>
        <w:rPr>
          <w:rFonts w:ascii="Times New Roman" w:hAnsi="Times New Roman" w:cs="Times New Roman"/>
        </w:rPr>
      </w:pPr>
      <w:r w:rsidRPr="00E15BEA">
        <w:rPr>
          <w:rFonts w:ascii="Times New Roman" w:hAnsi="Times New Roman" w:cs="Times New Roman"/>
        </w:rPr>
        <w:t>Prepared for: U.S. Department of Health and Human Services</w:t>
      </w:r>
    </w:p>
    <w:p w14:paraId="0A79E5F8" w14:textId="77777777" w:rsidR="009D6C83" w:rsidRPr="00E15BEA" w:rsidRDefault="00830EFB">
      <w:pPr>
        <w:spacing w:after="40"/>
        <w:jc w:val="center"/>
        <w:rPr>
          <w:rFonts w:ascii="Times New Roman" w:hAnsi="Times New Roman" w:cs="Times New Roman"/>
        </w:rPr>
      </w:pPr>
      <w:r w:rsidRPr="00E15BEA">
        <w:rPr>
          <w:rFonts w:ascii="Times New Roman" w:hAnsi="Times New Roman" w:cs="Times New Roman"/>
        </w:rPr>
        <w:t>In Partnership with: Unified Mentor</w:t>
      </w:r>
    </w:p>
    <w:p w14:paraId="017806A2" w14:textId="77777777" w:rsidR="009D6C83" w:rsidRPr="00E15BEA" w:rsidRDefault="00830EFB">
      <w:pPr>
        <w:spacing w:after="600"/>
        <w:jc w:val="center"/>
        <w:rPr>
          <w:rFonts w:ascii="Times New Roman" w:hAnsi="Times New Roman" w:cs="Times New Roman"/>
        </w:rPr>
      </w:pPr>
      <w:r w:rsidRPr="00E15BEA">
        <w:rPr>
          <w:rFonts w:ascii="Times New Roman" w:hAnsi="Times New Roman" w:cs="Times New Roman"/>
        </w:rPr>
        <w:t>Data Coverage Period: January 12, 2023 – December 21, 2025</w:t>
      </w:r>
    </w:p>
    <w:p w14:paraId="74A3166B" w14:textId="77777777" w:rsidR="009D6C83" w:rsidRPr="00C268BD" w:rsidRDefault="00830EFB">
      <w:pPr>
        <w:spacing w:before="1200"/>
        <w:jc w:val="center"/>
        <w:rPr>
          <w:rFonts w:ascii="Times New Roman" w:hAnsi="Times New Roman" w:cs="Times New Roman"/>
          <w:color w:val="auto"/>
        </w:rPr>
      </w:pPr>
      <w:r w:rsidRPr="00C268BD">
        <w:rPr>
          <w:rFonts w:ascii="Times New Roman" w:hAnsi="Times New Roman" w:cs="Times New Roman"/>
          <w:color w:val="auto"/>
        </w:rPr>
        <w:t>June 2026</w:t>
      </w:r>
    </w:p>
    <w:p w14:paraId="2F9FEF19" w14:textId="77777777" w:rsidR="009D6C83" w:rsidRPr="00E15BEA" w:rsidRDefault="009D6C83">
      <w:pPr>
        <w:rPr>
          <w:rFonts w:ascii="Times New Roman" w:hAnsi="Times New Roman" w:cs="Times New Roman"/>
        </w:rPr>
        <w:sectPr w:rsidR="009D6C83" w:rsidRPr="00E15BEA">
          <w:pgSz w:w="12240" w:h="15840"/>
          <w:pgMar w:top="1440" w:right="1440" w:bottom="1440" w:left="1440" w:header="708" w:footer="708" w:gutter="0"/>
          <w:cols w:space="720"/>
          <w:docGrid w:linePitch="360"/>
        </w:sectPr>
      </w:pPr>
    </w:p>
    <w:p w14:paraId="48C10F21" w14:textId="77777777" w:rsidR="00AA093C" w:rsidRPr="00AA093C" w:rsidRDefault="00AA093C" w:rsidP="00AA093C">
      <w:pPr>
        <w:pStyle w:val="Heading1"/>
        <w:rPr>
          <w:rFonts w:ascii="Times New Roman" w:hAnsi="Times New Roman" w:cs="Times New Roman"/>
          <w:color w:val="auto"/>
        </w:rPr>
      </w:pPr>
      <w:r w:rsidRPr="00AA093C">
        <w:rPr>
          <w:rFonts w:ascii="Times New Roman" w:hAnsi="Times New Roman" w:cs="Times New Roman"/>
          <w:color w:val="auto"/>
        </w:rPr>
        <w:lastRenderedPageBreak/>
        <w:t>Table of Contents</w:t>
      </w:r>
    </w:p>
    <w:p w14:paraId="316E31A4" w14:textId="77777777" w:rsidR="00AA093C" w:rsidRPr="00AA093C" w:rsidRDefault="00AA093C" w:rsidP="00AA093C">
      <w:pPr>
        <w:spacing w:after="200"/>
        <w:rPr>
          <w:rFonts w:ascii="Times New Roman" w:hAnsi="Times New Roman" w:cs="Times New Roman"/>
        </w:rPr>
      </w:pPr>
    </w:p>
    <w:p w14:paraId="6B733372" w14:textId="77777777"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Abstract</w:t>
      </w:r>
      <w:r w:rsidRPr="00AA093C">
        <w:rPr>
          <w:rFonts w:ascii="Times New Roman" w:hAnsi="Times New Roman" w:cs="Times New Roman"/>
          <w:b/>
          <w:bCs/>
        </w:rPr>
        <w:tab/>
        <w:t>4</w:t>
      </w:r>
    </w:p>
    <w:p w14:paraId="3D899892" w14:textId="668B337D"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1. Introduction</w:t>
      </w:r>
      <w:r w:rsidRPr="00AA093C">
        <w:rPr>
          <w:rFonts w:ascii="Times New Roman" w:hAnsi="Times New Roman" w:cs="Times New Roman"/>
          <w:b/>
          <w:bCs/>
        </w:rPr>
        <w:tab/>
      </w:r>
      <w:r w:rsidR="00F07F42">
        <w:rPr>
          <w:rFonts w:ascii="Times New Roman" w:hAnsi="Times New Roman" w:cs="Times New Roman"/>
          <w:b/>
          <w:bCs/>
        </w:rPr>
        <w:t>7</w:t>
      </w:r>
    </w:p>
    <w:p w14:paraId="62AEF221" w14:textId="7BC1E7D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1.1 Background and Context</w:t>
      </w:r>
      <w:r w:rsidRPr="00AA093C">
        <w:rPr>
          <w:rFonts w:ascii="Times New Roman" w:hAnsi="Times New Roman" w:cs="Times New Roman"/>
          <w:sz w:val="21"/>
          <w:szCs w:val="21"/>
        </w:rPr>
        <w:tab/>
      </w:r>
      <w:r w:rsidR="00F07F42">
        <w:rPr>
          <w:rFonts w:ascii="Times New Roman" w:hAnsi="Times New Roman" w:cs="Times New Roman"/>
          <w:sz w:val="21"/>
          <w:szCs w:val="21"/>
        </w:rPr>
        <w:t>7</w:t>
      </w:r>
    </w:p>
    <w:p w14:paraId="6C8BB4B3" w14:textId="746A6D7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1.2 Problem Statement</w:t>
      </w:r>
      <w:r w:rsidRPr="00AA093C">
        <w:rPr>
          <w:rFonts w:ascii="Times New Roman" w:hAnsi="Times New Roman" w:cs="Times New Roman"/>
          <w:sz w:val="21"/>
          <w:szCs w:val="21"/>
        </w:rPr>
        <w:tab/>
      </w:r>
      <w:r w:rsidR="00F07F42">
        <w:rPr>
          <w:rFonts w:ascii="Times New Roman" w:hAnsi="Times New Roman" w:cs="Times New Roman"/>
          <w:sz w:val="21"/>
          <w:szCs w:val="21"/>
        </w:rPr>
        <w:t>7</w:t>
      </w:r>
    </w:p>
    <w:p w14:paraId="46A039A1" w14:textId="65A155B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1.3 Project Objectives</w:t>
      </w:r>
      <w:r w:rsidRPr="00AA093C">
        <w:rPr>
          <w:rFonts w:ascii="Times New Roman" w:hAnsi="Times New Roman" w:cs="Times New Roman"/>
          <w:sz w:val="21"/>
          <w:szCs w:val="21"/>
        </w:rPr>
        <w:tab/>
      </w:r>
      <w:r w:rsidR="00F07F42">
        <w:rPr>
          <w:rFonts w:ascii="Times New Roman" w:hAnsi="Times New Roman" w:cs="Times New Roman"/>
          <w:sz w:val="21"/>
          <w:szCs w:val="21"/>
        </w:rPr>
        <w:t>8</w:t>
      </w:r>
    </w:p>
    <w:p w14:paraId="0BCFA00C" w14:textId="6526FA68"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2. Data and Methodology</w:t>
      </w:r>
      <w:r w:rsidRPr="00AA093C">
        <w:rPr>
          <w:rFonts w:ascii="Times New Roman" w:hAnsi="Times New Roman" w:cs="Times New Roman"/>
          <w:b/>
          <w:bCs/>
        </w:rPr>
        <w:tab/>
      </w:r>
      <w:r w:rsidR="00F07F42">
        <w:rPr>
          <w:rFonts w:ascii="Times New Roman" w:hAnsi="Times New Roman" w:cs="Times New Roman"/>
          <w:b/>
          <w:bCs/>
        </w:rPr>
        <w:t>9</w:t>
      </w:r>
    </w:p>
    <w:p w14:paraId="373B9592" w14:textId="688EDAD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2.1 Dataset Description</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03E5D823" w14:textId="7D9C99C0"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2.2 Care Pipeline Model</w:t>
      </w:r>
      <w:r>
        <w:rPr>
          <w:rFonts w:ascii="Times New Roman" w:hAnsi="Times New Roman" w:cs="Times New Roman"/>
          <w:sz w:val="21"/>
          <w:szCs w:val="21"/>
        </w:rPr>
        <w:t>l</w:t>
      </w:r>
      <w:r w:rsidRPr="00AA093C">
        <w:rPr>
          <w:rFonts w:ascii="Times New Roman" w:hAnsi="Times New Roman" w:cs="Times New Roman"/>
          <w:sz w:val="21"/>
          <w:szCs w:val="21"/>
        </w:rPr>
        <w:t>ing</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23A15EE1" w14:textId="0DE472A7"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2.3 Derived Process Efficiency Metrics</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53FACC01" w14:textId="37B17333" w:rsidR="00AA093C" w:rsidRPr="00AA093C" w:rsidRDefault="00AA093C" w:rsidP="00AA093C">
      <w:pPr>
        <w:pStyle w:val="TOC3"/>
        <w:tabs>
          <w:tab w:val="right" w:leader="dot" w:pos="9350"/>
        </w:tabs>
        <w:rPr>
          <w:rFonts w:ascii="Times New Roman" w:hAnsi="Times New Roman" w:cs="Times New Roman"/>
          <w:noProof/>
          <w:color w:val="auto"/>
        </w:rPr>
      </w:pPr>
      <w:r>
        <w:rPr>
          <w:rFonts w:ascii="Times New Roman" w:hAnsi="Times New Roman" w:cs="Times New Roman"/>
          <w:color w:val="auto"/>
          <w:sz w:val="21"/>
          <w:szCs w:val="21"/>
        </w:rPr>
        <w:t xml:space="preserve">  </w:t>
      </w:r>
      <w:r w:rsidRPr="00AA093C">
        <w:rPr>
          <w:rFonts w:ascii="Times New Roman" w:hAnsi="Times New Roman" w:cs="Times New Roman"/>
          <w:color w:val="auto"/>
          <w:sz w:val="21"/>
          <w:szCs w:val="21"/>
        </w:rPr>
        <w:t xml:space="preserve">2.3.1 </w:t>
      </w:r>
      <w:hyperlink w:anchor="_Toc232714607" w:history="1">
        <w:r w:rsidRPr="00AA093C">
          <w:rPr>
            <w:rStyle w:val="Hyperlink"/>
            <w:rFonts w:ascii="Times New Roman" w:hAnsi="Times New Roman" w:cs="Times New Roman"/>
            <w:noProof/>
            <w:color w:val="auto"/>
            <w:u w:val="none"/>
          </w:rPr>
          <w:t xml:space="preserve"> Transfer Efficiency Ratio</w:t>
        </w:r>
        <w:r>
          <w:rPr>
            <w:rFonts w:ascii="Times New Roman" w:hAnsi="Times New Roman" w:cs="Times New Roman"/>
            <w:noProof/>
            <w:color w:val="auto"/>
          </w:rPr>
          <w:t>………………………………………………………….………</w:t>
        </w:r>
        <w:r w:rsidR="00F07F42">
          <w:rPr>
            <w:rFonts w:ascii="Times New Roman" w:hAnsi="Times New Roman" w:cs="Times New Roman"/>
            <w:noProof/>
            <w:color w:val="auto"/>
          </w:rPr>
          <w:t>9</w:t>
        </w:r>
      </w:hyperlink>
    </w:p>
    <w:p w14:paraId="5771153C" w14:textId="1B33895C"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08" w:history="1">
        <w:r w:rsidRPr="00AA093C">
          <w:rPr>
            <w:rStyle w:val="Hyperlink"/>
            <w:rFonts w:ascii="Times New Roman" w:hAnsi="Times New Roman" w:cs="Times New Roman"/>
            <w:noProof/>
            <w:color w:val="auto"/>
            <w:u w:val="none"/>
          </w:rPr>
          <w:t>2.3.2 Discharge Effectiveness Index</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28487497" w14:textId="552FF7C8"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09" w:history="1">
        <w:r w:rsidRPr="00AA093C">
          <w:rPr>
            <w:rStyle w:val="Hyperlink"/>
            <w:rFonts w:ascii="Times New Roman" w:hAnsi="Times New Roman" w:cs="Times New Roman"/>
            <w:noProof/>
            <w:color w:val="auto"/>
            <w:u w:val="none"/>
          </w:rPr>
          <w:t>2.3.3 Pipeline Throughput Rate</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7EAD9DDE" w14:textId="7884CA22"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10" w:history="1">
        <w:r w:rsidRPr="00AA093C">
          <w:rPr>
            <w:rStyle w:val="Hyperlink"/>
            <w:rFonts w:ascii="Times New Roman" w:hAnsi="Times New Roman" w:cs="Times New Roman"/>
            <w:noProof/>
            <w:color w:val="auto"/>
            <w:u w:val="none"/>
          </w:rPr>
          <w:t>2.3.4 Backlog Accumulation Rate</w:t>
        </w:r>
        <w:r w:rsidR="000C4FA6">
          <w:rPr>
            <w:rStyle w:val="Hyperlink"/>
            <w:rFonts w:ascii="Times New Roman" w:hAnsi="Times New Roman" w:cs="Times New Roman"/>
            <w:noProof/>
            <w:color w:val="auto"/>
            <w:u w:val="none"/>
          </w:rPr>
          <w:t>………………………………………………………………</w:t>
        </w:r>
        <w:r w:rsidR="00F07F42">
          <w:rPr>
            <w:rFonts w:ascii="Times New Roman" w:hAnsi="Times New Roman" w:cs="Times New Roman"/>
            <w:noProof/>
            <w:color w:val="auto"/>
          </w:rPr>
          <w:t>10</w:t>
        </w:r>
      </w:hyperlink>
    </w:p>
    <w:p w14:paraId="325BCB67" w14:textId="194B65CD" w:rsidR="00AA093C" w:rsidRPr="00AA093C" w:rsidRDefault="00AA093C" w:rsidP="00AA093C">
      <w:pPr>
        <w:tabs>
          <w:tab w:val="right" w:leader="dot" w:pos="9000"/>
        </w:tabs>
        <w:spacing w:after="90"/>
        <w:rPr>
          <w:rFonts w:ascii="Times New Roman" w:hAnsi="Times New Roman" w:cs="Times New Roman"/>
          <w:color w:val="auto"/>
          <w:sz w:val="21"/>
          <w:szCs w:val="21"/>
        </w:rPr>
      </w:pPr>
      <w:r w:rsidRPr="00AA093C">
        <w:rPr>
          <w:rStyle w:val="Hyperlink"/>
          <w:rFonts w:ascii="Times New Roman" w:hAnsi="Times New Roman" w:cs="Times New Roman"/>
          <w:noProof/>
          <w:color w:val="auto"/>
          <w:u w:val="none"/>
        </w:rPr>
        <w:t xml:space="preserve">        </w:t>
      </w:r>
      <w:r>
        <w:rPr>
          <w:rStyle w:val="Hyperlink"/>
          <w:rFonts w:ascii="Times New Roman" w:hAnsi="Times New Roman" w:cs="Times New Roman"/>
          <w:noProof/>
          <w:color w:val="auto"/>
          <w:u w:val="none"/>
        </w:rPr>
        <w:t xml:space="preserve">  </w:t>
      </w:r>
      <w:hyperlink w:anchor="_Toc232714611" w:history="1">
        <w:r w:rsidRPr="00AA093C">
          <w:rPr>
            <w:rStyle w:val="Hyperlink"/>
            <w:rFonts w:ascii="Times New Roman" w:hAnsi="Times New Roman" w:cs="Times New Roman"/>
            <w:noProof/>
            <w:color w:val="auto"/>
            <w:u w:val="none"/>
          </w:rPr>
          <w:t>2.3.5 Outcome Stability Score</w:t>
        </w:r>
        <w:r w:rsidRPr="00AA093C">
          <w:rPr>
            <w:rFonts w:ascii="Times New Roman" w:hAnsi="Times New Roman" w:cs="Times New Roman"/>
            <w:noProof/>
            <w:color w:val="auto"/>
          </w:rPr>
          <w:tab/>
        </w:r>
        <w:r w:rsidR="00D7540D">
          <w:rPr>
            <w:rFonts w:ascii="Times New Roman" w:hAnsi="Times New Roman" w:cs="Times New Roman"/>
            <w:noProof/>
            <w:color w:val="auto"/>
          </w:rPr>
          <w:t>………………………………………………………………….</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00C19F01" w14:textId="7C8D2F3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2.4 Backlog, Stagnation, and Alert Detection</w:t>
      </w:r>
      <w:r w:rsidRPr="00AA093C">
        <w:rPr>
          <w:rFonts w:ascii="Times New Roman" w:hAnsi="Times New Roman" w:cs="Times New Roman"/>
          <w:sz w:val="21"/>
          <w:szCs w:val="21"/>
        </w:rPr>
        <w:tab/>
      </w:r>
      <w:r w:rsidR="00D7540D">
        <w:rPr>
          <w:rFonts w:ascii="Times New Roman" w:hAnsi="Times New Roman" w:cs="Times New Roman"/>
          <w:sz w:val="21"/>
          <w:szCs w:val="21"/>
        </w:rPr>
        <w:t>…………………………………………………………</w:t>
      </w:r>
      <w:r w:rsidR="000C4FA6">
        <w:rPr>
          <w:rFonts w:ascii="Times New Roman" w:hAnsi="Times New Roman" w:cs="Times New Roman"/>
          <w:sz w:val="21"/>
          <w:szCs w:val="21"/>
        </w:rPr>
        <w:t>.</w:t>
      </w:r>
      <w:r w:rsidR="00F07F42">
        <w:rPr>
          <w:rFonts w:ascii="Times New Roman" w:hAnsi="Times New Roman" w:cs="Times New Roman"/>
          <w:sz w:val="21"/>
          <w:szCs w:val="21"/>
        </w:rPr>
        <w:t>10</w:t>
      </w:r>
    </w:p>
    <w:p w14:paraId="1EFDA4DC" w14:textId="4F59C865"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2.5 Temporal and Pattern Analysis</w:t>
      </w:r>
      <w:r w:rsidRPr="00AA093C">
        <w:rPr>
          <w:rFonts w:ascii="Times New Roman" w:hAnsi="Times New Roman" w:cs="Times New Roman"/>
          <w:sz w:val="21"/>
          <w:szCs w:val="21"/>
        </w:rPr>
        <w:tab/>
      </w:r>
      <w:r w:rsidR="000C4FA6">
        <w:rPr>
          <w:rFonts w:ascii="Times New Roman" w:hAnsi="Times New Roman" w:cs="Times New Roman"/>
          <w:sz w:val="21"/>
          <w:szCs w:val="21"/>
        </w:rPr>
        <w:t>.</w:t>
      </w:r>
      <w:r w:rsidR="00F07F42">
        <w:rPr>
          <w:rFonts w:ascii="Times New Roman" w:hAnsi="Times New Roman" w:cs="Times New Roman"/>
          <w:sz w:val="21"/>
          <w:szCs w:val="21"/>
        </w:rPr>
        <w:t>11</w:t>
      </w:r>
    </w:p>
    <w:p w14:paraId="03AA47F2" w14:textId="13B18C2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2.6 Analytical Tools</w:t>
      </w:r>
      <w:r w:rsidRPr="00AA093C">
        <w:rPr>
          <w:rFonts w:ascii="Times New Roman" w:hAnsi="Times New Roman" w:cs="Times New Roman"/>
          <w:sz w:val="21"/>
          <w:szCs w:val="21"/>
        </w:rPr>
        <w:tab/>
      </w:r>
      <w:r w:rsidR="000C4FA6">
        <w:rPr>
          <w:rFonts w:ascii="Times New Roman" w:hAnsi="Times New Roman" w:cs="Times New Roman"/>
          <w:sz w:val="21"/>
          <w:szCs w:val="21"/>
        </w:rPr>
        <w:t>..</w:t>
      </w:r>
      <w:r w:rsidR="00F07F42">
        <w:rPr>
          <w:rFonts w:ascii="Times New Roman" w:hAnsi="Times New Roman" w:cs="Times New Roman"/>
          <w:sz w:val="21"/>
          <w:szCs w:val="21"/>
        </w:rPr>
        <w:t>11</w:t>
      </w:r>
    </w:p>
    <w:p w14:paraId="3696BA7C" w14:textId="53B3DA73"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3. Results</w:t>
      </w:r>
      <w:r w:rsidRPr="00AA093C">
        <w:rPr>
          <w:rFonts w:ascii="Times New Roman" w:hAnsi="Times New Roman" w:cs="Times New Roman"/>
          <w:b/>
          <w:bCs/>
        </w:rPr>
        <w:tab/>
        <w:t>1</w:t>
      </w:r>
      <w:r w:rsidR="00F07F42">
        <w:rPr>
          <w:rFonts w:ascii="Times New Roman" w:hAnsi="Times New Roman" w:cs="Times New Roman"/>
          <w:b/>
          <w:bCs/>
        </w:rPr>
        <w:t>2</w:t>
      </w:r>
    </w:p>
    <w:p w14:paraId="4F7D05A5" w14:textId="15DEE17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3.1 Overview of Key Performance Indicators</w:t>
      </w:r>
      <w:r w:rsidRPr="00AA093C">
        <w:rPr>
          <w:rFonts w:ascii="Times New Roman" w:hAnsi="Times New Roman" w:cs="Times New Roman"/>
          <w:sz w:val="21"/>
          <w:szCs w:val="21"/>
        </w:rPr>
        <w:tab/>
        <w:t>1</w:t>
      </w:r>
      <w:r w:rsidR="00F07F42">
        <w:rPr>
          <w:rFonts w:ascii="Times New Roman" w:hAnsi="Times New Roman" w:cs="Times New Roman"/>
          <w:sz w:val="21"/>
          <w:szCs w:val="21"/>
        </w:rPr>
        <w:t>2</w:t>
      </w:r>
    </w:p>
    <w:p w14:paraId="0A4E5DF7" w14:textId="1606715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3.2 Transfer Efficiency</w:t>
      </w:r>
      <w:r w:rsidRPr="00AA093C">
        <w:rPr>
          <w:rFonts w:ascii="Times New Roman" w:hAnsi="Times New Roman" w:cs="Times New Roman"/>
          <w:sz w:val="21"/>
          <w:szCs w:val="21"/>
        </w:rPr>
        <w:tab/>
        <w:t>1</w:t>
      </w:r>
      <w:r w:rsidR="00F07F42">
        <w:rPr>
          <w:rFonts w:ascii="Times New Roman" w:hAnsi="Times New Roman" w:cs="Times New Roman"/>
          <w:sz w:val="21"/>
          <w:szCs w:val="21"/>
        </w:rPr>
        <w:t>2</w:t>
      </w:r>
    </w:p>
    <w:p w14:paraId="7B778A18" w14:textId="3C985AE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3.3 Discharge Effectiveness</w:t>
      </w:r>
      <w:r w:rsidRPr="00AA093C">
        <w:rPr>
          <w:rFonts w:ascii="Times New Roman" w:hAnsi="Times New Roman" w:cs="Times New Roman"/>
          <w:sz w:val="21"/>
          <w:szCs w:val="21"/>
        </w:rPr>
        <w:tab/>
        <w:t>1</w:t>
      </w:r>
      <w:r w:rsidR="00F07F42">
        <w:rPr>
          <w:rFonts w:ascii="Times New Roman" w:hAnsi="Times New Roman" w:cs="Times New Roman"/>
          <w:sz w:val="21"/>
          <w:szCs w:val="21"/>
        </w:rPr>
        <w:t>3</w:t>
      </w:r>
    </w:p>
    <w:p w14:paraId="33F9B1DB" w14:textId="3859E939"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3.4 Backlog Accumulation</w:t>
      </w:r>
      <w:r w:rsidRPr="00AA093C">
        <w:rPr>
          <w:rFonts w:ascii="Times New Roman" w:hAnsi="Times New Roman" w:cs="Times New Roman"/>
          <w:sz w:val="21"/>
          <w:szCs w:val="21"/>
        </w:rPr>
        <w:tab/>
        <w:t>1</w:t>
      </w:r>
      <w:r w:rsidR="00F07F42">
        <w:rPr>
          <w:rFonts w:ascii="Times New Roman" w:hAnsi="Times New Roman" w:cs="Times New Roman"/>
          <w:sz w:val="21"/>
          <w:szCs w:val="21"/>
        </w:rPr>
        <w:t>3</w:t>
      </w:r>
    </w:p>
    <w:p w14:paraId="0D28F135" w14:textId="1339EA1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3.5 Warning Alerts and Stagnation</w:t>
      </w:r>
      <w:r w:rsidRPr="00AA093C">
        <w:rPr>
          <w:rFonts w:ascii="Times New Roman" w:hAnsi="Times New Roman" w:cs="Times New Roman"/>
          <w:sz w:val="21"/>
          <w:szCs w:val="21"/>
        </w:rPr>
        <w:tab/>
        <w:t>1</w:t>
      </w:r>
      <w:r w:rsidR="00F07F42">
        <w:rPr>
          <w:rFonts w:ascii="Times New Roman" w:hAnsi="Times New Roman" w:cs="Times New Roman"/>
          <w:sz w:val="21"/>
          <w:szCs w:val="21"/>
        </w:rPr>
        <w:t>4</w:t>
      </w:r>
    </w:p>
    <w:p w14:paraId="76BA3F24" w14:textId="5F0C44C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3.6 Outcome Stability</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62152D74" w14:textId="685AF36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3.7 Weekday Versus Weekend Performance</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617DB233" w14:textId="7739D27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3.8 Monthly and Seasonal Trends</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2E2A406B" w14:textId="28E9277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3.9 Correlation Structure Among Pipeline Metrics</w:t>
      </w:r>
      <w:r w:rsidRPr="00AA093C">
        <w:rPr>
          <w:rFonts w:ascii="Times New Roman" w:hAnsi="Times New Roman" w:cs="Times New Roman"/>
          <w:sz w:val="21"/>
          <w:szCs w:val="21"/>
        </w:rPr>
        <w:tab/>
        <w:t>1</w:t>
      </w:r>
      <w:r w:rsidR="00F07F42">
        <w:rPr>
          <w:rFonts w:ascii="Times New Roman" w:hAnsi="Times New Roman" w:cs="Times New Roman"/>
          <w:sz w:val="21"/>
          <w:szCs w:val="21"/>
        </w:rPr>
        <w:t>7</w:t>
      </w:r>
    </w:p>
    <w:p w14:paraId="25F6264F" w14:textId="430E2179"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4. Discussion</w:t>
      </w:r>
      <w:r w:rsidRPr="00AA093C">
        <w:rPr>
          <w:rFonts w:ascii="Times New Roman" w:hAnsi="Times New Roman" w:cs="Times New Roman"/>
          <w:b/>
          <w:bCs/>
        </w:rPr>
        <w:tab/>
        <w:t>1</w:t>
      </w:r>
      <w:r w:rsidR="00F07F42">
        <w:rPr>
          <w:rFonts w:ascii="Times New Roman" w:hAnsi="Times New Roman" w:cs="Times New Roman"/>
          <w:b/>
          <w:bCs/>
        </w:rPr>
        <w:t>8</w:t>
      </w:r>
    </w:p>
    <w:p w14:paraId="6F286B94" w14:textId="3F9F98C0"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4.1 Interpreting Backlog Concentration</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7CB40685" w14:textId="56AD4A2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4.2 The Late-Period Discharge Decline</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216B22F7" w14:textId="7D538ED1"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4.3 Weekday/Weekend Parity as a Positive Operational Signal</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262920F1" w14:textId="18323B71"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4.4 Redundancy in Stability Metrics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27D44801" w14:textId="78966FAE" w:rsidR="005A4758" w:rsidRPr="00AA093C" w:rsidRDefault="005A4758" w:rsidP="00AA093C">
      <w:pPr>
        <w:tabs>
          <w:tab w:val="right" w:leader="dot" w:pos="9000"/>
        </w:tabs>
        <w:spacing w:after="90"/>
        <w:ind w:left="360"/>
        <w:rPr>
          <w:rFonts w:ascii="Times New Roman" w:hAnsi="Times New Roman" w:cs="Times New Roman"/>
        </w:rPr>
      </w:pPr>
      <w:r>
        <w:rPr>
          <w:rFonts w:ascii="Times New Roman" w:hAnsi="Times New Roman" w:cs="Times New Roman"/>
          <w:sz w:val="21"/>
          <w:szCs w:val="21"/>
        </w:rPr>
        <w:t>4.5 Year</w:t>
      </w:r>
      <w:r w:rsidR="000A549E">
        <w:rPr>
          <w:rFonts w:ascii="Times New Roman" w:hAnsi="Times New Roman" w:cs="Times New Roman"/>
          <w:sz w:val="21"/>
          <w:szCs w:val="21"/>
        </w:rPr>
        <w:t>-</w:t>
      </w:r>
      <w:r>
        <w:rPr>
          <w:rFonts w:ascii="Times New Roman" w:hAnsi="Times New Roman" w:cs="Times New Roman"/>
          <w:sz w:val="21"/>
          <w:szCs w:val="21"/>
        </w:rPr>
        <w:t>Over</w:t>
      </w:r>
      <w:r w:rsidR="000A549E">
        <w:rPr>
          <w:rFonts w:ascii="Times New Roman" w:hAnsi="Times New Roman" w:cs="Times New Roman"/>
          <w:sz w:val="21"/>
          <w:szCs w:val="21"/>
        </w:rPr>
        <w:t>-</w:t>
      </w:r>
      <w:r>
        <w:rPr>
          <w:rFonts w:ascii="Times New Roman" w:hAnsi="Times New Roman" w:cs="Times New Roman"/>
          <w:sz w:val="21"/>
          <w:szCs w:val="21"/>
        </w:rPr>
        <w:t>Year Performance Evalu</w:t>
      </w:r>
      <w:r w:rsidR="00CA3A23">
        <w:rPr>
          <w:rFonts w:ascii="Times New Roman" w:hAnsi="Times New Roman" w:cs="Times New Roman"/>
          <w:sz w:val="21"/>
          <w:szCs w:val="21"/>
        </w:rPr>
        <w:t>a</w:t>
      </w:r>
      <w:r>
        <w:rPr>
          <w:rFonts w:ascii="Times New Roman" w:hAnsi="Times New Roman" w:cs="Times New Roman"/>
          <w:sz w:val="21"/>
          <w:szCs w:val="21"/>
        </w:rPr>
        <w:t>tion...………………………………………………………</w:t>
      </w:r>
      <w:r w:rsidR="00CA3A23">
        <w:rPr>
          <w:rFonts w:ascii="Times New Roman" w:hAnsi="Times New Roman" w:cs="Times New Roman"/>
          <w:sz w:val="21"/>
          <w:szCs w:val="21"/>
        </w:rPr>
        <w:t>.</w:t>
      </w:r>
      <w:r w:rsidR="00EC1D1F">
        <w:rPr>
          <w:rFonts w:ascii="Times New Roman" w:hAnsi="Times New Roman" w:cs="Times New Roman"/>
          <w:sz w:val="21"/>
          <w:szCs w:val="21"/>
        </w:rPr>
        <w:t>.</w:t>
      </w:r>
      <w:r>
        <w:rPr>
          <w:rFonts w:ascii="Times New Roman" w:hAnsi="Times New Roman" w:cs="Times New Roman"/>
          <w:sz w:val="21"/>
          <w:szCs w:val="21"/>
        </w:rPr>
        <w:t>1</w:t>
      </w:r>
      <w:r w:rsidR="00F07F42">
        <w:rPr>
          <w:rFonts w:ascii="Times New Roman" w:hAnsi="Times New Roman" w:cs="Times New Roman"/>
          <w:sz w:val="21"/>
          <w:szCs w:val="21"/>
        </w:rPr>
        <w:t>9</w:t>
      </w:r>
    </w:p>
    <w:p w14:paraId="12E194C5" w14:textId="54A0DD49"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lastRenderedPageBreak/>
        <w:t>5. Limitations</w:t>
      </w:r>
      <w:r w:rsidRPr="00AA093C">
        <w:rPr>
          <w:rFonts w:ascii="Times New Roman" w:hAnsi="Times New Roman" w:cs="Times New Roman"/>
          <w:b/>
          <w:bCs/>
        </w:rPr>
        <w:tab/>
        <w:t>1</w:t>
      </w:r>
      <w:r w:rsidR="00F07F42">
        <w:rPr>
          <w:rFonts w:ascii="Times New Roman" w:hAnsi="Times New Roman" w:cs="Times New Roman"/>
          <w:b/>
          <w:bCs/>
        </w:rPr>
        <w:t>9</w:t>
      </w:r>
    </w:p>
    <w:p w14:paraId="73150D86" w14:textId="1420175D"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5.1 Data Granularity and Scope</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09B4C438" w14:textId="12F3226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5.2 Data Quality Observation: Missing Saturday Records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76D8599A" w14:textId="730E3891"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5.3 Negative Backlog Values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64F2712A" w14:textId="3BDBB435"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5.4 Outlier Sensitivity in Ratio Metrics</w:t>
      </w:r>
      <w:r w:rsidRPr="00AA093C">
        <w:rPr>
          <w:rFonts w:ascii="Times New Roman" w:hAnsi="Times New Roman" w:cs="Times New Roman"/>
          <w:sz w:val="21"/>
          <w:szCs w:val="21"/>
        </w:rPr>
        <w:tab/>
      </w:r>
      <w:r w:rsidR="00F85319">
        <w:rPr>
          <w:rFonts w:ascii="Times New Roman" w:hAnsi="Times New Roman" w:cs="Times New Roman"/>
          <w:sz w:val="21"/>
          <w:szCs w:val="21"/>
        </w:rPr>
        <w:t>1</w:t>
      </w:r>
      <w:r w:rsidR="00F07F42">
        <w:rPr>
          <w:rFonts w:ascii="Times New Roman" w:hAnsi="Times New Roman" w:cs="Times New Roman"/>
          <w:sz w:val="21"/>
          <w:szCs w:val="21"/>
        </w:rPr>
        <w:t>9</w:t>
      </w:r>
    </w:p>
    <w:p w14:paraId="43EC3ACA" w14:textId="28D6EB62"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5.5 Correlational, Not Causal, Findings</w:t>
      </w:r>
      <w:r w:rsidRPr="00AA093C">
        <w:rPr>
          <w:rFonts w:ascii="Times New Roman" w:hAnsi="Times New Roman" w:cs="Times New Roman"/>
          <w:sz w:val="21"/>
          <w:szCs w:val="21"/>
        </w:rPr>
        <w:tab/>
      </w:r>
      <w:r w:rsidR="00F07F42">
        <w:rPr>
          <w:rFonts w:ascii="Times New Roman" w:hAnsi="Times New Roman" w:cs="Times New Roman"/>
          <w:sz w:val="21"/>
          <w:szCs w:val="21"/>
        </w:rPr>
        <w:t>21</w:t>
      </w:r>
    </w:p>
    <w:p w14:paraId="58982BC0" w14:textId="1A4D98C3"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 xml:space="preserve">6. </w:t>
      </w:r>
      <w:proofErr w:type="spellStart"/>
      <w:r w:rsidRPr="00AA093C">
        <w:rPr>
          <w:rFonts w:ascii="Times New Roman" w:hAnsi="Times New Roman" w:cs="Times New Roman"/>
          <w:b/>
          <w:bCs/>
        </w:rPr>
        <w:t>Streamlit</w:t>
      </w:r>
      <w:proofErr w:type="spellEnd"/>
      <w:r w:rsidRPr="00AA093C">
        <w:rPr>
          <w:rFonts w:ascii="Times New Roman" w:hAnsi="Times New Roman" w:cs="Times New Roman"/>
          <w:b/>
          <w:bCs/>
        </w:rPr>
        <w:t xml:space="preserve"> Analytics Dashboard</w:t>
      </w:r>
      <w:r w:rsidRPr="00AA093C">
        <w:rPr>
          <w:rFonts w:ascii="Times New Roman" w:hAnsi="Times New Roman" w:cs="Times New Roman"/>
          <w:b/>
          <w:bCs/>
        </w:rPr>
        <w:tab/>
        <w:t>2</w:t>
      </w:r>
      <w:r w:rsidR="00F07F42">
        <w:rPr>
          <w:rFonts w:ascii="Times New Roman" w:hAnsi="Times New Roman" w:cs="Times New Roman"/>
          <w:b/>
          <w:bCs/>
        </w:rPr>
        <w:t>2</w:t>
      </w:r>
    </w:p>
    <w:p w14:paraId="60D352D1" w14:textId="0C4634A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6.1 Core Modules</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261D159C" w14:textId="6BFBB938"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6.2 User Capabilities</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44D2DAE9" w14:textId="40FC1B0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6.3 Page Structure</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6825034B" w14:textId="4965EB32"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7. Recommendations</w:t>
      </w:r>
      <w:r w:rsidRPr="00AA093C">
        <w:rPr>
          <w:rFonts w:ascii="Times New Roman" w:hAnsi="Times New Roman" w:cs="Times New Roman"/>
          <w:b/>
          <w:bCs/>
        </w:rPr>
        <w:tab/>
        <w:t>2</w:t>
      </w:r>
      <w:r w:rsidR="00F07F42">
        <w:rPr>
          <w:rFonts w:ascii="Times New Roman" w:hAnsi="Times New Roman" w:cs="Times New Roman"/>
          <w:b/>
          <w:bCs/>
        </w:rPr>
        <w:t>4</w:t>
      </w:r>
    </w:p>
    <w:p w14:paraId="6EFC4E9A" w14:textId="2D52B886"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8. Conclusion</w:t>
      </w:r>
      <w:r w:rsidRPr="00AA093C">
        <w:rPr>
          <w:rFonts w:ascii="Times New Roman" w:hAnsi="Times New Roman" w:cs="Times New Roman"/>
          <w:b/>
          <w:bCs/>
        </w:rPr>
        <w:tab/>
        <w:t>2</w:t>
      </w:r>
      <w:r w:rsidR="00F07F42">
        <w:rPr>
          <w:rFonts w:ascii="Times New Roman" w:hAnsi="Times New Roman" w:cs="Times New Roman"/>
          <w:b/>
          <w:bCs/>
        </w:rPr>
        <w:t>5</w:t>
      </w:r>
    </w:p>
    <w:p w14:paraId="60605B89" w14:textId="4904D030"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9. Future Research</w:t>
      </w:r>
      <w:r w:rsidRPr="00AA093C">
        <w:rPr>
          <w:rFonts w:ascii="Times New Roman" w:hAnsi="Times New Roman" w:cs="Times New Roman"/>
          <w:b/>
          <w:bCs/>
        </w:rPr>
        <w:tab/>
        <w:t>2</w:t>
      </w:r>
      <w:r w:rsidR="00F07F42">
        <w:rPr>
          <w:rFonts w:ascii="Times New Roman" w:hAnsi="Times New Roman" w:cs="Times New Roman"/>
          <w:b/>
          <w:bCs/>
        </w:rPr>
        <w:t>6</w:t>
      </w:r>
    </w:p>
    <w:p w14:paraId="6BA47EB1" w14:textId="7C47B0B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9.1 Causal Analysis of the Late-Period Discharge Decline</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209D4A08" w14:textId="7931F8D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9.2 Facility- and Region-Level Disaggregation</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4D2DE6F4" w14:textId="7186D98D"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9.3 Sponsor-Side Process Modelling</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7501F481" w14:textId="1683902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9.4 Predictive Backlog and Stagnation Forecasting</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670DFF35" w14:textId="0802278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9.5 Formal Causal Inference on Weekday/Weekend Parity</w:t>
      </w:r>
      <w:r w:rsidRPr="00AA093C">
        <w:rPr>
          <w:rFonts w:ascii="Times New Roman" w:hAnsi="Times New Roman" w:cs="Times New Roman"/>
          <w:sz w:val="21"/>
          <w:szCs w:val="21"/>
        </w:rPr>
        <w:tab/>
        <w:t>2</w:t>
      </w:r>
      <w:r w:rsidR="00F07F42">
        <w:rPr>
          <w:rFonts w:ascii="Times New Roman" w:hAnsi="Times New Roman" w:cs="Times New Roman"/>
          <w:sz w:val="21"/>
          <w:szCs w:val="21"/>
        </w:rPr>
        <w:t>7</w:t>
      </w:r>
    </w:p>
    <w:p w14:paraId="1F048852" w14:textId="6708CD1B"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9.6 Dashboard Extension to Real-Time Data Ingestion</w:t>
      </w:r>
      <w:r w:rsidRPr="00AA093C">
        <w:rPr>
          <w:rFonts w:ascii="Times New Roman" w:hAnsi="Times New Roman" w:cs="Times New Roman"/>
          <w:sz w:val="21"/>
          <w:szCs w:val="21"/>
        </w:rPr>
        <w:tab/>
        <w:t>2</w:t>
      </w:r>
      <w:r w:rsidR="00F07F42">
        <w:rPr>
          <w:rFonts w:ascii="Times New Roman" w:hAnsi="Times New Roman" w:cs="Times New Roman"/>
          <w:sz w:val="21"/>
          <w:szCs w:val="21"/>
        </w:rPr>
        <w:t>7</w:t>
      </w:r>
    </w:p>
    <w:p w14:paraId="4204132D" w14:textId="4CB95EC2" w:rsidR="000A549E" w:rsidRPr="00AA093C" w:rsidRDefault="000A549E" w:rsidP="00AA093C">
      <w:pPr>
        <w:tabs>
          <w:tab w:val="right" w:leader="dot" w:pos="9000"/>
        </w:tabs>
        <w:spacing w:after="90"/>
        <w:ind w:left="360"/>
        <w:rPr>
          <w:rFonts w:ascii="Times New Roman" w:hAnsi="Times New Roman" w:cs="Times New Roman"/>
        </w:rPr>
      </w:pPr>
      <w:r>
        <w:rPr>
          <w:rFonts w:ascii="Times New Roman" w:hAnsi="Times New Roman" w:cs="Times New Roman"/>
          <w:sz w:val="21"/>
          <w:szCs w:val="21"/>
        </w:rPr>
        <w:t>9.7 Long Term Performance Forecasting……………………………………………………………...2</w:t>
      </w:r>
      <w:r w:rsidR="00F07F42">
        <w:rPr>
          <w:rFonts w:ascii="Times New Roman" w:hAnsi="Times New Roman" w:cs="Times New Roman"/>
          <w:sz w:val="21"/>
          <w:szCs w:val="21"/>
        </w:rPr>
        <w:t>7</w:t>
      </w:r>
    </w:p>
    <w:p w14:paraId="0BEE7321" w14:textId="6C88DC61"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References</w:t>
      </w:r>
      <w:r w:rsidRPr="00AA093C">
        <w:rPr>
          <w:rFonts w:ascii="Times New Roman" w:hAnsi="Times New Roman" w:cs="Times New Roman"/>
          <w:b/>
          <w:bCs/>
        </w:rPr>
        <w:tab/>
        <w:t>2</w:t>
      </w:r>
      <w:r w:rsidR="00F07F42">
        <w:rPr>
          <w:rFonts w:ascii="Times New Roman" w:hAnsi="Times New Roman" w:cs="Times New Roman"/>
          <w:b/>
          <w:bCs/>
        </w:rPr>
        <w:t>8</w:t>
      </w:r>
    </w:p>
    <w:p w14:paraId="55C37B73" w14:textId="6ECE5362"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A: Dataset Schema</w:t>
      </w:r>
      <w:r w:rsidRPr="00AA093C">
        <w:rPr>
          <w:rFonts w:ascii="Times New Roman" w:hAnsi="Times New Roman" w:cs="Times New Roman"/>
          <w:b/>
          <w:bCs/>
        </w:rPr>
        <w:tab/>
        <w:t>2</w:t>
      </w:r>
      <w:r w:rsidR="00F07F42">
        <w:rPr>
          <w:rFonts w:ascii="Times New Roman" w:hAnsi="Times New Roman" w:cs="Times New Roman"/>
          <w:b/>
          <w:bCs/>
        </w:rPr>
        <w:t>9</w:t>
      </w:r>
    </w:p>
    <w:p w14:paraId="4763C909" w14:textId="4F91AA5D"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B: KPI Formula Reference</w:t>
      </w:r>
      <w:r w:rsidRPr="00AA093C">
        <w:rPr>
          <w:rFonts w:ascii="Times New Roman" w:hAnsi="Times New Roman" w:cs="Times New Roman"/>
          <w:b/>
          <w:bCs/>
        </w:rPr>
        <w:tab/>
      </w:r>
      <w:r w:rsidR="00F07F42">
        <w:rPr>
          <w:rFonts w:ascii="Times New Roman" w:hAnsi="Times New Roman" w:cs="Times New Roman"/>
          <w:b/>
          <w:bCs/>
        </w:rPr>
        <w:t>30</w:t>
      </w:r>
    </w:p>
    <w:p w14:paraId="5A244B70" w14:textId="40E4CD36"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C: Software and Tools</w:t>
      </w:r>
      <w:r w:rsidRPr="00AA093C">
        <w:rPr>
          <w:rFonts w:ascii="Times New Roman" w:hAnsi="Times New Roman" w:cs="Times New Roman"/>
          <w:b/>
          <w:bCs/>
        </w:rPr>
        <w:tab/>
      </w:r>
      <w:r w:rsidR="00F07F42">
        <w:rPr>
          <w:rFonts w:ascii="Times New Roman" w:hAnsi="Times New Roman" w:cs="Times New Roman"/>
          <w:b/>
          <w:bCs/>
        </w:rPr>
        <w:t>31</w:t>
      </w:r>
    </w:p>
    <w:p w14:paraId="3D6EFA7A" w14:textId="5C8CBE0F"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About the Author</w:t>
      </w:r>
      <w:r w:rsidRPr="00AA093C">
        <w:rPr>
          <w:rFonts w:ascii="Times New Roman" w:hAnsi="Times New Roman" w:cs="Times New Roman"/>
          <w:b/>
          <w:bCs/>
        </w:rPr>
        <w:tab/>
        <w:t>3</w:t>
      </w:r>
      <w:r w:rsidR="00F07F42">
        <w:rPr>
          <w:rFonts w:ascii="Times New Roman" w:hAnsi="Times New Roman" w:cs="Times New Roman"/>
          <w:b/>
          <w:bCs/>
        </w:rPr>
        <w:t>2</w:t>
      </w:r>
    </w:p>
    <w:p w14:paraId="7FDADE80"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0A96D8E7" w14:textId="0E54C92E" w:rsidR="009D6C83" w:rsidRPr="00E15BEA" w:rsidRDefault="009D6C83">
      <w:pPr>
        <w:rPr>
          <w:rFonts w:ascii="Times New Roman" w:hAnsi="Times New Roman" w:cs="Times New Roman"/>
        </w:rPr>
        <w:sectPr w:rsidR="009D6C83" w:rsidRPr="00E15BEA">
          <w:headerReference w:type="default" r:id="rId8"/>
          <w:footerReference w:type="default" r:id="rId9"/>
          <w:pgSz w:w="12240" w:h="15840"/>
          <w:pgMar w:top="1440" w:right="1440" w:bottom="1440" w:left="1440" w:header="708" w:footer="708" w:gutter="0"/>
          <w:cols w:space="720"/>
          <w:docGrid w:linePitch="360"/>
        </w:sectPr>
      </w:pPr>
    </w:p>
    <w:p w14:paraId="580BC7E5" w14:textId="77777777" w:rsidR="009D6C83" w:rsidRPr="008A64B7" w:rsidRDefault="00830EFB">
      <w:pPr>
        <w:pStyle w:val="Heading1"/>
        <w:rPr>
          <w:rFonts w:ascii="Times New Roman" w:hAnsi="Times New Roman" w:cs="Times New Roman"/>
          <w:color w:val="000000" w:themeColor="text1"/>
        </w:rPr>
      </w:pPr>
      <w:bookmarkStart w:id="0" w:name="_Toc232714596"/>
      <w:r w:rsidRPr="008A64B7">
        <w:rPr>
          <w:rFonts w:ascii="Times New Roman" w:hAnsi="Times New Roman" w:cs="Times New Roman"/>
          <w:color w:val="000000" w:themeColor="text1"/>
        </w:rPr>
        <w:lastRenderedPageBreak/>
        <w:t>Abstract</w:t>
      </w:r>
      <w:bookmarkEnd w:id="0"/>
    </w:p>
    <w:p w14:paraId="57007BF3"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The Unaccompanied Alien Children (UAC) program manages a multi-stage humanitarian pipeline spanning apprehension and custody by U.S. Customs and Border Protection (CBP), transfer into care administered by the Department of Health and Human Services (HHS), and eventual discharge to a vetted sponsor. While aggregate population counts at each stage are routinely reported, process-level efficiency — how quickly and reliably children move between stages — has historically received far less structured analysis. This study reframes 720 days of daily operational data (January 12, 2023 to December 21, 2025) from a capacity-monitoring lens to a process-efficiency and outcome-evaluation lens. Five derived key performance indicators were constructed: Transfer Efficiency Ratio, Discharge Effectiveness Index, Pipeline Throughput Rate, Backlog Accumulation Rate, and Outcome Stability Score. Analysis reveals an average transfer efficiency of 0.69 (transfers per child in CBP custody), an average discharge effectiveness of 0.024, and a mean transfer backlog of approximately 43 children per day, with backlog peaking at 304 children on May 29, 2024. Approximately 24.3% of all observed days were flagged with an operational warning alert, and 21.5% of days fell within a stagnation period of five or more consecutive low-efficiency days. Weekday and weekend transfer efficiency were found to be statistically comparable (0.689 versus 0.700, a 1.6% difference), suggesting the pipeline does not suffer materially from weekend staffing constraints. Discharge effectiveness and HHS care load ratio exhibited a near-perfect inverse correlation (r = –1.00), while stagnation period length was strongly associated with both reduced transfer efficiency (r = –0.66) and reduced discharge effectiveness (r = –0.80). These findings are translated into an interactive nine-page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analytics dashboard intended to support real-time operational monitoring and policy-level decision-making aimed at reducing systemic delay and improving reunification timelines.</w:t>
      </w:r>
    </w:p>
    <w:p w14:paraId="2E170EF4" w14:textId="6FD78C64" w:rsidR="00A271C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b/>
          <w:bCs/>
        </w:rPr>
        <w:t xml:space="preserve">Keywords: </w:t>
      </w:r>
      <w:r w:rsidRPr="00E15BEA">
        <w:rPr>
          <w:rFonts w:ascii="Times New Roman" w:hAnsi="Times New Roman" w:cs="Times New Roman"/>
        </w:rPr>
        <w:t>unaccompanied alien children, care pipeline analytics, transfer efficiency, discharge effectiveness, backlog detection, process bottleneck analysis, humanitarian operations research</w:t>
      </w:r>
    </w:p>
    <w:p w14:paraId="1A1A8B02" w14:textId="77777777" w:rsidR="00F378E5" w:rsidRDefault="00F378E5">
      <w:pPr>
        <w:rPr>
          <w:rFonts w:ascii="Times New Roman" w:hAnsi="Times New Roman" w:cs="Times New Roman"/>
        </w:rPr>
      </w:pPr>
    </w:p>
    <w:p w14:paraId="28CDE4DE" w14:textId="77777777" w:rsidR="00F378E5" w:rsidRDefault="00F378E5">
      <w:pPr>
        <w:rPr>
          <w:rFonts w:ascii="Times New Roman" w:hAnsi="Times New Roman" w:cs="Times New Roman"/>
        </w:rPr>
      </w:pPr>
    </w:p>
    <w:p w14:paraId="76D27F4D" w14:textId="77777777" w:rsidR="00F378E5" w:rsidRDefault="00F378E5">
      <w:pPr>
        <w:rPr>
          <w:rFonts w:ascii="Times New Roman" w:hAnsi="Times New Roman" w:cs="Times New Roman"/>
        </w:rPr>
      </w:pPr>
    </w:p>
    <w:p w14:paraId="080D10EE" w14:textId="77777777" w:rsidR="00F378E5" w:rsidRDefault="00F378E5">
      <w:pPr>
        <w:rPr>
          <w:rFonts w:ascii="Times New Roman" w:hAnsi="Times New Roman" w:cs="Times New Roman"/>
        </w:rPr>
      </w:pPr>
    </w:p>
    <w:p w14:paraId="121AB0EC" w14:textId="77777777" w:rsidR="00F378E5" w:rsidRDefault="00F378E5">
      <w:pPr>
        <w:rPr>
          <w:rFonts w:ascii="Times New Roman" w:hAnsi="Times New Roman" w:cs="Times New Roman"/>
        </w:rPr>
      </w:pPr>
    </w:p>
    <w:p w14:paraId="587C8BB8" w14:textId="77777777" w:rsidR="00F378E5" w:rsidRDefault="00F378E5">
      <w:pPr>
        <w:rPr>
          <w:rFonts w:ascii="Times New Roman" w:hAnsi="Times New Roman" w:cs="Times New Roman"/>
        </w:rPr>
      </w:pPr>
    </w:p>
    <w:p w14:paraId="1D264924" w14:textId="77777777" w:rsidR="00F378E5" w:rsidRDefault="00F378E5">
      <w:pPr>
        <w:rPr>
          <w:rFonts w:ascii="Times New Roman" w:hAnsi="Times New Roman" w:cs="Times New Roman"/>
        </w:rPr>
      </w:pPr>
    </w:p>
    <w:p w14:paraId="4107C1ED" w14:textId="77777777" w:rsidR="00F378E5" w:rsidRDefault="00F378E5">
      <w:pPr>
        <w:rPr>
          <w:rFonts w:ascii="Times New Roman" w:hAnsi="Times New Roman" w:cs="Times New Roman"/>
        </w:rPr>
      </w:pPr>
    </w:p>
    <w:p w14:paraId="71E79210" w14:textId="77777777" w:rsidR="00F378E5" w:rsidRDefault="00F378E5">
      <w:pPr>
        <w:rPr>
          <w:rFonts w:ascii="Times New Roman" w:hAnsi="Times New Roman" w:cs="Times New Roman"/>
        </w:rPr>
      </w:pPr>
    </w:p>
    <w:p w14:paraId="0A937027" w14:textId="77777777" w:rsidR="00F378E5" w:rsidRDefault="00F378E5">
      <w:pPr>
        <w:rPr>
          <w:rFonts w:ascii="Times New Roman" w:hAnsi="Times New Roman" w:cs="Times New Roman"/>
        </w:rPr>
      </w:pPr>
    </w:p>
    <w:p w14:paraId="6C4134B8" w14:textId="77777777" w:rsidR="00F378E5" w:rsidRDefault="00F378E5">
      <w:pPr>
        <w:rPr>
          <w:rFonts w:ascii="Times New Roman" w:hAnsi="Times New Roman" w:cs="Times New Roman"/>
        </w:rPr>
      </w:pPr>
    </w:p>
    <w:p w14:paraId="4BE372DF" w14:textId="36629DC5" w:rsidR="00F378E5" w:rsidRDefault="00F378E5" w:rsidP="00F378E5">
      <w:pPr>
        <w:rPr>
          <w:rFonts w:ascii="Times New Roman" w:hAnsi="Times New Roman" w:cs="Times New Roman"/>
          <w:b/>
          <w:bCs/>
          <w:sz w:val="30"/>
          <w:szCs w:val="30"/>
        </w:rPr>
      </w:pPr>
    </w:p>
    <w:p w14:paraId="70E91385" w14:textId="368E46A3" w:rsidR="00F378E5" w:rsidRPr="00F378E5" w:rsidRDefault="00F378E5" w:rsidP="00F378E5">
      <w:pPr>
        <w:pStyle w:val="Heading1"/>
        <w:pBdr>
          <w:bottom w:val="single" w:sz="6" w:space="0" w:color="1747A0"/>
        </w:pBdr>
        <w:spacing w:line="276" w:lineRule="auto"/>
        <w:rPr>
          <w:rFonts w:ascii="Times New Roman" w:hAnsi="Times New Roman" w:cs="Times New Roman"/>
          <w:color w:val="000000" w:themeColor="text1"/>
        </w:rPr>
      </w:pPr>
      <w:r w:rsidRPr="00F378E5">
        <w:rPr>
          <w:rFonts w:ascii="Times New Roman" w:hAnsi="Times New Roman" w:cs="Times New Roman"/>
          <w:color w:val="000000" w:themeColor="text1"/>
        </w:rPr>
        <w:lastRenderedPageBreak/>
        <w:t>Executive Summary for Government Stakeholders</w:t>
      </w:r>
    </w:p>
    <w:p w14:paraId="6FBAAAA7" w14:textId="77777777" w:rsidR="00F378E5" w:rsidRPr="00F378E5" w:rsidRDefault="00F378E5" w:rsidP="00BB66F0">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Purpose</w:t>
      </w:r>
    </w:p>
    <w:p w14:paraId="6731BA1B"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t>The Unaccompanied Alien Children (UAC) Program functions as a multi-stage care and reunification pipeline that moves children from CBP custody to HHS care and ultimately to placement with approved sponsors. While existing reporting primarily focuses on custody counts and capacity utilization, limited attention has been given to evaluating the operational efficiency of these transitions. This study addresses that gap by developing process-based performance indicators to assess the effectiveness, stability, and reliability of the care transition system.</w:t>
      </w:r>
    </w:p>
    <w:p w14:paraId="79C6CD02" w14:textId="77777777" w:rsidR="00F378E5" w:rsidRPr="00F378E5" w:rsidRDefault="00F378E5" w:rsidP="00F378E5">
      <w:pPr>
        <w:rPr>
          <w:rFonts w:ascii="Times New Roman" w:hAnsi="Times New Roman" w:cs="Times New Roman"/>
        </w:rPr>
      </w:pPr>
    </w:p>
    <w:p w14:paraId="79BD9E4F"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Key Findings</w:t>
      </w:r>
    </w:p>
    <w:p w14:paraId="7A6F2A3E"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Analysis of three years of daily operational data (2023–2025) revealed several important trends across the care pipeline.</w:t>
      </w:r>
    </w:p>
    <w:p w14:paraId="15B47BF2"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Transfer Efficiency, which measures the movement of children from CBP custody into HHS care, declined from an annual average of 0.83 in 2023 to 0.46 in 2025, indicating slower movement through the initial stages of the pipeline. Similarly, Discharge Effectiveness decreased from 0.033 in 2023 to 0.009 in 2025, reflecting a reduction in successful sponsor placement activity relative to the HHS care population.</w:t>
      </w:r>
    </w:p>
    <w:p w14:paraId="4803AA49"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The analysis identified increasing operational strain over time. Warning Days rose from 7 in 2023 to 156 in 2025, while Stagnation Days increased from 0 to 155 during the same period. These findings suggest that prolonged periods of reduced system performance became significantly more common in the later stages of the study period.</w:t>
      </w:r>
    </w:p>
    <w:p w14:paraId="4FA89546"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Backlog analysis revealed that operational bottlenecks were driven primarily by sustained imbalances between inflows and successful exits rather than isolated daily spikes. Periods of stagnation were consistently associated with lower transfer and discharge performance, indicating that prolonged inefficiencies may negatively affect overall system throughput.</w:t>
      </w:r>
    </w:p>
    <w:p w14:paraId="117387B5"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t>A positive finding was the absence of meaningful differences between weekday and weekend operational performance. Transfer and discharge metrics remained relatively stable across the week, suggesting that current staffing and operational practices maintain continuity of service regardless of day type.</w:t>
      </w:r>
    </w:p>
    <w:p w14:paraId="2377A29A" w14:textId="77777777" w:rsidR="00F378E5" w:rsidRPr="00F378E5" w:rsidRDefault="00F378E5" w:rsidP="00F378E5">
      <w:pPr>
        <w:rPr>
          <w:rFonts w:ascii="Times New Roman" w:hAnsi="Times New Roman" w:cs="Times New Roman"/>
        </w:rPr>
      </w:pPr>
    </w:p>
    <w:p w14:paraId="1829E61A"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Operational Implications</w:t>
      </w:r>
    </w:p>
    <w:p w14:paraId="1A6D2187"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The findings indicate that while the care transition system remained functional throughout the study period, several efficiency indicators deteriorated over time. Declining transfer and discharge performance, combined with increasing warning and stagnation periods, may contribute to longer reunification timelines and increased operational pressure on care facilities.</w:t>
      </w:r>
    </w:p>
    <w:p w14:paraId="67AC06B7"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lastRenderedPageBreak/>
        <w:t>The Year-over-Year analysis further highlights the emergence of long-term risks that may not be visible through daily monitoring alone. Continuous KPI tracking is therefore essential for identifying developing bottlenecks before they significantly impact child welfare outcomes.</w:t>
      </w:r>
    </w:p>
    <w:p w14:paraId="4CDCE6E4" w14:textId="77777777" w:rsidR="00F378E5" w:rsidRPr="00F378E5" w:rsidRDefault="00F378E5" w:rsidP="00F378E5">
      <w:pPr>
        <w:rPr>
          <w:rFonts w:ascii="Times New Roman" w:hAnsi="Times New Roman" w:cs="Times New Roman"/>
        </w:rPr>
      </w:pPr>
    </w:p>
    <w:p w14:paraId="4D8A900B"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Recommendations</w:t>
      </w:r>
    </w:p>
    <w:p w14:paraId="57C4CF9C"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Implement rolling backlog monitoring and automated alert systems to identify sustained operational strain earlier.</w:t>
      </w:r>
    </w:p>
    <w:p w14:paraId="345D76CE"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Use stagnation-period detection as an early warning mechanism for management review and resource allocation decisions.</w:t>
      </w:r>
    </w:p>
    <w:p w14:paraId="00A37C3B"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Conduct further investigation into the factors contributing to declining discharge effectiveness and reduced sponsor placement throughput.</w:t>
      </w:r>
    </w:p>
    <w:p w14:paraId="1AE18A2D"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Continue annual KPI-based performance reviews to support evidence-based operational planning and policy development.</w:t>
      </w:r>
    </w:p>
    <w:p w14:paraId="597E904D" w14:textId="77777777" w:rsid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Expand future data collection efforts to include facility-level or regional information to improve the identification of localized bottlenecks.</w:t>
      </w:r>
    </w:p>
    <w:p w14:paraId="3E2D175B" w14:textId="77777777" w:rsidR="00BB66F0" w:rsidRPr="00F378E5" w:rsidRDefault="00BB66F0" w:rsidP="00BB66F0">
      <w:pPr>
        <w:spacing w:line="360" w:lineRule="auto"/>
        <w:rPr>
          <w:rFonts w:ascii="Times New Roman" w:hAnsi="Times New Roman" w:cs="Times New Roman"/>
        </w:rPr>
      </w:pPr>
    </w:p>
    <w:p w14:paraId="6772C8E7" w14:textId="77777777" w:rsidR="00F378E5" w:rsidRPr="00BB66F0" w:rsidRDefault="00F378E5" w:rsidP="00BB66F0">
      <w:pPr>
        <w:spacing w:line="360" w:lineRule="auto"/>
        <w:rPr>
          <w:rFonts w:ascii="Times New Roman" w:hAnsi="Times New Roman" w:cs="Times New Roman"/>
          <w:b/>
          <w:bCs/>
          <w:sz w:val="25"/>
          <w:szCs w:val="25"/>
        </w:rPr>
      </w:pPr>
      <w:r w:rsidRPr="00BB66F0">
        <w:rPr>
          <w:rFonts w:ascii="Times New Roman" w:hAnsi="Times New Roman" w:cs="Times New Roman"/>
          <w:b/>
          <w:bCs/>
          <w:sz w:val="25"/>
          <w:szCs w:val="25"/>
        </w:rPr>
        <w:t>Conclusion</w:t>
      </w:r>
    </w:p>
    <w:p w14:paraId="39922FDE"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This study demonstrates the value of evaluating the UAC system through a process-efficiency and outcome-oriented framework rather than a capacity-monitoring perspective alone. The accompanying analytics dashboard and research findings provide a practical foundation for monitoring operational performance, identifying bottlenecks, and supporting policies that improve reunification timelines and child welfare outcomes. Continued use of these analytical tools can strengthen decision-making and enhance the overall effectiveness of the care transition pipeline.</w:t>
      </w:r>
    </w:p>
    <w:p w14:paraId="3C07CE85" w14:textId="198207C6" w:rsidR="009D6C83" w:rsidRPr="00E15BEA" w:rsidRDefault="00830EFB">
      <w:pPr>
        <w:rPr>
          <w:rFonts w:ascii="Times New Roman" w:hAnsi="Times New Roman" w:cs="Times New Roman"/>
        </w:rPr>
      </w:pPr>
      <w:r w:rsidRPr="00E15BEA">
        <w:rPr>
          <w:rFonts w:ascii="Times New Roman" w:hAnsi="Times New Roman" w:cs="Times New Roman"/>
        </w:rPr>
        <w:br w:type="page"/>
      </w:r>
    </w:p>
    <w:p w14:paraId="128A89C7" w14:textId="77777777" w:rsidR="009D6C83" w:rsidRPr="007A2777" w:rsidRDefault="00830EFB" w:rsidP="00F378E5">
      <w:pPr>
        <w:pStyle w:val="Heading1"/>
        <w:pBdr>
          <w:bottom w:val="single" w:sz="6" w:space="0" w:color="1747A0"/>
        </w:pBdr>
        <w:rPr>
          <w:rFonts w:ascii="Times New Roman" w:hAnsi="Times New Roman" w:cs="Times New Roman"/>
          <w:color w:val="auto"/>
        </w:rPr>
      </w:pPr>
      <w:bookmarkStart w:id="1" w:name="_Toc232714597"/>
      <w:r w:rsidRPr="007A2777">
        <w:rPr>
          <w:rFonts w:ascii="Times New Roman" w:hAnsi="Times New Roman" w:cs="Times New Roman"/>
          <w:color w:val="auto"/>
        </w:rPr>
        <w:lastRenderedPageBreak/>
        <w:t>1. Introduction</w:t>
      </w:r>
      <w:bookmarkEnd w:id="1"/>
    </w:p>
    <w:p w14:paraId="67D45961" w14:textId="77777777" w:rsidR="009D6C83" w:rsidRPr="007A2777" w:rsidRDefault="00830EFB">
      <w:pPr>
        <w:pStyle w:val="Heading2"/>
        <w:rPr>
          <w:rFonts w:ascii="Times New Roman" w:hAnsi="Times New Roman" w:cs="Times New Roman"/>
          <w:color w:val="auto"/>
        </w:rPr>
      </w:pPr>
      <w:bookmarkStart w:id="2" w:name="_Toc232714598"/>
      <w:r w:rsidRPr="007A2777">
        <w:rPr>
          <w:rFonts w:ascii="Times New Roman" w:hAnsi="Times New Roman" w:cs="Times New Roman"/>
          <w:color w:val="auto"/>
        </w:rPr>
        <w:t>1.1 Background and Context</w:t>
      </w:r>
      <w:bookmarkEnd w:id="2"/>
    </w:p>
    <w:p w14:paraId="5875C005"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UAC program operates as a multi-stage care and reunification pipeline rather than a static healthcare or custodial system. Children enter the pipeline upon apprehension by CBP, are held in short-term CBP custody, transferred into longer-term HHS care for medical screening and case management, and ultimately discharged to a sponsor — typically a parent, relative, or vetted guardian — within the United States. From a policy and humanitarian standpoint, the speed, continuity, and reliability of this pipeline carry consequences that are at least as significant as raw system capacity. Prolonged custody periods, particularly in CBP facilities not designed for extended child residency, have been widely documented as a source of child welfare risk, while delays in HHS discharge processing extend family separation and strain shelter capacity.</w:t>
      </w:r>
    </w:p>
    <w:p w14:paraId="38545B3B"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Despite the operational importance of pipeline speed, public and institutional monitoring of the UAC system has historically emphasized point-in-time population counts — how many children are currently in CBP custody, how many are in HHS care — over process-level efficiency metrics that describe how effectively children move between these states. This asymmetry leaves systemic bottlenecks, backlog accumulation, and outcome instability largely invisible until they manifest as capacity crises.</w:t>
      </w:r>
    </w:p>
    <w:p w14:paraId="173CB0FD" w14:textId="77777777" w:rsidR="009D6C83" w:rsidRPr="007A2777" w:rsidRDefault="00830EFB">
      <w:pPr>
        <w:pStyle w:val="Heading2"/>
        <w:rPr>
          <w:rFonts w:ascii="Times New Roman" w:hAnsi="Times New Roman" w:cs="Times New Roman"/>
          <w:color w:val="auto"/>
        </w:rPr>
      </w:pPr>
      <w:bookmarkStart w:id="3" w:name="_Toc232714599"/>
      <w:r w:rsidRPr="007A2777">
        <w:rPr>
          <w:rFonts w:ascii="Times New Roman" w:hAnsi="Times New Roman" w:cs="Times New Roman"/>
          <w:color w:val="auto"/>
        </w:rPr>
        <w:t>1.2 Problem Statement</w:t>
      </w:r>
      <w:bookmarkEnd w:id="3"/>
    </w:p>
    <w:p w14:paraId="0E5EA97D"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While aggregate counts of children in custody are monitored on an ongoing basis, process efficiency metrics describing the movement of children through the pipeline are largely absent from standard reporting. This creates several unanswered operational questions that this study seeks to address:</w:t>
      </w:r>
    </w:p>
    <w:p w14:paraId="6098D023"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How efficiently are children transferred from CBP custody into HHS care?</w:t>
      </w:r>
    </w:p>
    <w:p w14:paraId="6175C39A"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Are HHS discharges keeping pace with the rate of inflow from CBP?</w:t>
      </w:r>
    </w:p>
    <w:p w14:paraId="7DDDD291"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When and where in the timeline do care backlogs accumulate, and how severe do they become?</w:t>
      </w:r>
    </w:p>
    <w:p w14:paraId="41E40CE5"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Are placement and reunification outcomes improving, deteriorating, or remaining stable over time?</w:t>
      </w:r>
    </w:p>
    <w:p w14:paraId="64CF8FB8" w14:textId="77777777" w:rsidR="009D6C83" w:rsidRDefault="00830EFB">
      <w:pPr>
        <w:spacing w:after="160" w:line="360" w:lineRule="auto"/>
        <w:jc w:val="both"/>
        <w:rPr>
          <w:rFonts w:ascii="Times New Roman" w:hAnsi="Times New Roman" w:cs="Times New Roman"/>
        </w:rPr>
      </w:pPr>
      <w:r w:rsidRPr="00E15BEA">
        <w:rPr>
          <w:rFonts w:ascii="Times New Roman" w:hAnsi="Times New Roman" w:cs="Times New Roman"/>
        </w:rPr>
        <w:t>Without structured transition analytics built specifically to answer these questions, bottlenecks within the system remain hidden from policymakers and operational managers until backlog and capacity strain become acute.</w:t>
      </w:r>
    </w:p>
    <w:p w14:paraId="2FBB45CA" w14:textId="77777777" w:rsidR="00AA093C" w:rsidRDefault="00AA093C">
      <w:pPr>
        <w:spacing w:after="160" w:line="360" w:lineRule="auto"/>
        <w:jc w:val="both"/>
        <w:rPr>
          <w:rFonts w:ascii="Times New Roman" w:hAnsi="Times New Roman" w:cs="Times New Roman"/>
        </w:rPr>
      </w:pPr>
    </w:p>
    <w:p w14:paraId="35E6B32A" w14:textId="77777777" w:rsidR="00F378E5" w:rsidRPr="00E15BEA" w:rsidRDefault="00F378E5">
      <w:pPr>
        <w:spacing w:after="160" w:line="360" w:lineRule="auto"/>
        <w:jc w:val="both"/>
        <w:rPr>
          <w:rFonts w:ascii="Times New Roman" w:hAnsi="Times New Roman" w:cs="Times New Roman"/>
        </w:rPr>
      </w:pPr>
    </w:p>
    <w:p w14:paraId="09C98094" w14:textId="77777777" w:rsidR="009D6C83" w:rsidRPr="007A2777" w:rsidRDefault="00830EFB">
      <w:pPr>
        <w:pStyle w:val="Heading2"/>
        <w:rPr>
          <w:rFonts w:ascii="Times New Roman" w:hAnsi="Times New Roman" w:cs="Times New Roman"/>
          <w:color w:val="auto"/>
        </w:rPr>
      </w:pPr>
      <w:bookmarkStart w:id="4" w:name="_Toc232714600"/>
      <w:r w:rsidRPr="007A2777">
        <w:rPr>
          <w:rFonts w:ascii="Times New Roman" w:hAnsi="Times New Roman" w:cs="Times New Roman"/>
          <w:color w:val="auto"/>
        </w:rPr>
        <w:lastRenderedPageBreak/>
        <w:t>1.3 Project Objectives</w:t>
      </w:r>
      <w:bookmarkEnd w:id="4"/>
    </w:p>
    <w:p w14:paraId="1256757A" w14:textId="77777777" w:rsidR="009D6C83" w:rsidRPr="007A2777" w:rsidRDefault="00830EFB">
      <w:pPr>
        <w:pStyle w:val="Heading3"/>
        <w:rPr>
          <w:rFonts w:ascii="Times New Roman" w:hAnsi="Times New Roman" w:cs="Times New Roman"/>
          <w:color w:val="auto"/>
        </w:rPr>
      </w:pPr>
      <w:bookmarkStart w:id="5" w:name="_Toc232714601"/>
      <w:r w:rsidRPr="007A2777">
        <w:rPr>
          <w:rFonts w:ascii="Times New Roman" w:hAnsi="Times New Roman" w:cs="Times New Roman"/>
          <w:color w:val="auto"/>
        </w:rPr>
        <w:t>Primary Objectives</w:t>
      </w:r>
      <w:bookmarkEnd w:id="5"/>
    </w:p>
    <w:p w14:paraId="19E57648"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Measure the efficiency of CBP → HHS transitions using a standardized, repeatable ratio metric.</w:t>
      </w:r>
    </w:p>
    <w:p w14:paraId="12F75B09"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Evaluate discharge and sponsor placement outcomes through a discharge effectiveness index.</w:t>
      </w:r>
    </w:p>
    <w:p w14:paraId="366C288F"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Identify delays and process bottlenecks through backlog and stagnation detection.</w:t>
      </w:r>
    </w:p>
    <w:p w14:paraId="6E5CC9F1" w14:textId="77777777" w:rsidR="009D6C83" w:rsidRPr="007A2777" w:rsidRDefault="00830EFB">
      <w:pPr>
        <w:pStyle w:val="Heading3"/>
        <w:rPr>
          <w:rFonts w:ascii="Times New Roman" w:hAnsi="Times New Roman" w:cs="Times New Roman"/>
          <w:color w:val="auto"/>
        </w:rPr>
      </w:pPr>
      <w:bookmarkStart w:id="6" w:name="_Toc232714602"/>
      <w:r w:rsidRPr="007A2777">
        <w:rPr>
          <w:rFonts w:ascii="Times New Roman" w:hAnsi="Times New Roman" w:cs="Times New Roman"/>
          <w:color w:val="auto"/>
        </w:rPr>
        <w:t>Secondary Objectives</w:t>
      </w:r>
      <w:bookmarkEnd w:id="6"/>
    </w:p>
    <w:p w14:paraId="78BC1424"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Support faster reunification timelines for children and families.</w:t>
      </w:r>
    </w:p>
    <w:p w14:paraId="625D9100"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Improve case management workflows through visibility into process-level performance.</w:t>
      </w:r>
    </w:p>
    <w:p w14:paraId="3A90AACE" w14:textId="77777777" w:rsidR="009D6C83"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Inform policy-level process reforms with data-driven, reproducible evidence.</w:t>
      </w:r>
    </w:p>
    <w:p w14:paraId="3339064C" w14:textId="77777777" w:rsidR="005F1F5B" w:rsidRDefault="005F1F5B" w:rsidP="005F1F5B">
      <w:pPr>
        <w:spacing w:after="80" w:line="340" w:lineRule="auto"/>
        <w:rPr>
          <w:rFonts w:ascii="Times New Roman" w:hAnsi="Times New Roman" w:cs="Times New Roman"/>
        </w:r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00"/>
        <w:gridCol w:w="6360"/>
      </w:tblGrid>
      <w:tr w:rsidR="005F1F5B" w14:paraId="0CEA25ED" w14:textId="77777777" w:rsidTr="005F1F5B">
        <w:trPr>
          <w:trHeight w:val="439"/>
        </w:trPr>
        <w:tc>
          <w:tcPr>
            <w:tcW w:w="9360" w:type="dxa"/>
            <w:gridSpan w:val="2"/>
            <w:shd w:val="clear" w:color="auto" w:fill="1F3A79"/>
          </w:tcPr>
          <w:p w14:paraId="5DD9F072" w14:textId="77777777" w:rsidR="005F1F5B" w:rsidRDefault="005F1F5B" w:rsidP="00C3391D">
            <w:pPr>
              <w:pStyle w:val="TableParagraph"/>
              <w:spacing w:before="94"/>
              <w:ind w:left="433"/>
              <w:rPr>
                <w:b/>
                <w:sz w:val="20"/>
              </w:rPr>
            </w:pPr>
            <w:r>
              <w:rPr>
                <w:b/>
                <w:color w:val="FFFFFF"/>
                <w:sz w:val="20"/>
              </w:rPr>
              <w:t>Document</w:t>
            </w:r>
            <w:r>
              <w:rPr>
                <w:b/>
                <w:color w:val="FFFFFF"/>
                <w:spacing w:val="-8"/>
                <w:sz w:val="20"/>
              </w:rPr>
              <w:t xml:space="preserve"> </w:t>
            </w:r>
            <w:r>
              <w:rPr>
                <w:b/>
                <w:color w:val="FFFFFF"/>
                <w:spacing w:val="-2"/>
                <w:sz w:val="20"/>
              </w:rPr>
              <w:t>Information</w:t>
            </w:r>
          </w:p>
        </w:tc>
      </w:tr>
      <w:tr w:rsidR="005F1F5B" w14:paraId="734581EA" w14:textId="77777777" w:rsidTr="005F1F5B">
        <w:trPr>
          <w:trHeight w:val="375"/>
        </w:trPr>
        <w:tc>
          <w:tcPr>
            <w:tcW w:w="3000" w:type="dxa"/>
          </w:tcPr>
          <w:p w14:paraId="0DBDA6C7" w14:textId="77777777" w:rsidR="005F1F5B" w:rsidRDefault="005F1F5B" w:rsidP="00C3391D">
            <w:pPr>
              <w:pStyle w:val="TableParagraph"/>
              <w:spacing w:before="72"/>
              <w:rPr>
                <w:sz w:val="21"/>
              </w:rPr>
            </w:pPr>
            <w:r>
              <w:rPr>
                <w:spacing w:val="-2"/>
                <w:sz w:val="21"/>
              </w:rPr>
              <w:t>Dataset</w:t>
            </w:r>
          </w:p>
        </w:tc>
        <w:tc>
          <w:tcPr>
            <w:tcW w:w="6360" w:type="dxa"/>
          </w:tcPr>
          <w:p w14:paraId="3FB3E42E" w14:textId="77777777" w:rsidR="005F1F5B" w:rsidRDefault="005F1F5B" w:rsidP="00C3391D">
            <w:pPr>
              <w:pStyle w:val="TableParagraph"/>
              <w:spacing w:before="72"/>
              <w:rPr>
                <w:sz w:val="21"/>
              </w:rPr>
            </w:pPr>
            <w:r>
              <w:rPr>
                <w:sz w:val="21"/>
              </w:rPr>
              <w:t xml:space="preserve">HHS UAC Program Daily Reporting </w:t>
            </w:r>
            <w:r>
              <w:rPr>
                <w:spacing w:val="-2"/>
                <w:sz w:val="21"/>
              </w:rPr>
              <w:t>Dataset</w:t>
            </w:r>
          </w:p>
        </w:tc>
      </w:tr>
      <w:tr w:rsidR="005F1F5B" w14:paraId="7B10B356" w14:textId="77777777" w:rsidTr="005F1F5B">
        <w:trPr>
          <w:trHeight w:val="370"/>
        </w:trPr>
        <w:tc>
          <w:tcPr>
            <w:tcW w:w="3000" w:type="dxa"/>
            <w:shd w:val="clear" w:color="auto" w:fill="F5F5F5"/>
          </w:tcPr>
          <w:p w14:paraId="4C95D99B" w14:textId="77777777" w:rsidR="005F1F5B" w:rsidRDefault="005F1F5B" w:rsidP="00C3391D">
            <w:pPr>
              <w:pStyle w:val="TableParagraph"/>
              <w:spacing w:before="74"/>
              <w:rPr>
                <w:sz w:val="21"/>
              </w:rPr>
            </w:pPr>
            <w:r>
              <w:rPr>
                <w:sz w:val="21"/>
              </w:rPr>
              <w:t xml:space="preserve">Date </w:t>
            </w:r>
            <w:r>
              <w:rPr>
                <w:spacing w:val="-2"/>
                <w:sz w:val="21"/>
              </w:rPr>
              <w:t>Range</w:t>
            </w:r>
          </w:p>
        </w:tc>
        <w:tc>
          <w:tcPr>
            <w:tcW w:w="6360" w:type="dxa"/>
            <w:shd w:val="clear" w:color="auto" w:fill="F5F5F5"/>
          </w:tcPr>
          <w:p w14:paraId="2BC9E2DB" w14:textId="77777777" w:rsidR="005F1F5B" w:rsidRDefault="005F1F5B" w:rsidP="00C3391D">
            <w:pPr>
              <w:pStyle w:val="TableParagraph"/>
              <w:spacing w:before="74"/>
              <w:rPr>
                <w:sz w:val="21"/>
              </w:rPr>
            </w:pPr>
            <w:r>
              <w:rPr>
                <w:sz w:val="21"/>
              </w:rPr>
              <w:t xml:space="preserve">January 12, 2023 – December 21, </w:t>
            </w:r>
            <w:r>
              <w:rPr>
                <w:spacing w:val="-4"/>
                <w:sz w:val="21"/>
              </w:rPr>
              <w:t>2025</w:t>
            </w:r>
          </w:p>
        </w:tc>
      </w:tr>
      <w:tr w:rsidR="005F1F5B" w14:paraId="37F62599" w14:textId="77777777" w:rsidTr="005F1F5B">
        <w:trPr>
          <w:trHeight w:val="390"/>
        </w:trPr>
        <w:tc>
          <w:tcPr>
            <w:tcW w:w="3000" w:type="dxa"/>
          </w:tcPr>
          <w:p w14:paraId="4ABCEAE5" w14:textId="77777777" w:rsidR="005F1F5B" w:rsidRDefault="005F1F5B" w:rsidP="00C3391D">
            <w:pPr>
              <w:pStyle w:val="TableParagraph"/>
              <w:spacing w:before="80"/>
              <w:rPr>
                <w:sz w:val="21"/>
              </w:rPr>
            </w:pPr>
            <w:r>
              <w:rPr>
                <w:sz w:val="21"/>
              </w:rPr>
              <w:t>Total</w:t>
            </w:r>
            <w:r>
              <w:rPr>
                <w:spacing w:val="-14"/>
                <w:sz w:val="21"/>
              </w:rPr>
              <w:t xml:space="preserve"> </w:t>
            </w:r>
            <w:r>
              <w:rPr>
                <w:sz w:val="21"/>
              </w:rPr>
              <w:t>Records</w:t>
            </w:r>
            <w:r>
              <w:rPr>
                <w:spacing w:val="-12"/>
                <w:sz w:val="21"/>
              </w:rPr>
              <w:t xml:space="preserve"> </w:t>
            </w:r>
            <w:r>
              <w:rPr>
                <w:spacing w:val="-2"/>
                <w:sz w:val="21"/>
              </w:rPr>
              <w:t>Analyzed</w:t>
            </w:r>
          </w:p>
        </w:tc>
        <w:tc>
          <w:tcPr>
            <w:tcW w:w="6360" w:type="dxa"/>
          </w:tcPr>
          <w:p w14:paraId="4C8C2862" w14:textId="77777777" w:rsidR="005F1F5B" w:rsidRDefault="005F1F5B" w:rsidP="00C3391D">
            <w:pPr>
              <w:pStyle w:val="TableParagraph"/>
              <w:spacing w:before="80"/>
              <w:rPr>
                <w:sz w:val="21"/>
              </w:rPr>
            </w:pPr>
            <w:r>
              <w:rPr>
                <w:sz w:val="21"/>
              </w:rPr>
              <w:t xml:space="preserve">720 valid daily </w:t>
            </w:r>
            <w:r>
              <w:rPr>
                <w:spacing w:val="-2"/>
                <w:sz w:val="21"/>
              </w:rPr>
              <w:t>records</w:t>
            </w:r>
          </w:p>
        </w:tc>
      </w:tr>
      <w:tr w:rsidR="005F1F5B" w14:paraId="4EEF2180" w14:textId="77777777" w:rsidTr="005F1F5B">
        <w:trPr>
          <w:trHeight w:val="369"/>
        </w:trPr>
        <w:tc>
          <w:tcPr>
            <w:tcW w:w="3000" w:type="dxa"/>
            <w:shd w:val="clear" w:color="auto" w:fill="F5F5F5"/>
          </w:tcPr>
          <w:p w14:paraId="790D2AEE" w14:textId="77777777" w:rsidR="005F1F5B" w:rsidRDefault="005F1F5B" w:rsidP="00C3391D">
            <w:pPr>
              <w:pStyle w:val="TableParagraph"/>
              <w:spacing w:before="67"/>
              <w:rPr>
                <w:sz w:val="21"/>
              </w:rPr>
            </w:pPr>
            <w:r>
              <w:rPr>
                <w:sz w:val="21"/>
              </w:rPr>
              <w:t xml:space="preserve">KPIs </w:t>
            </w:r>
            <w:r>
              <w:rPr>
                <w:spacing w:val="-2"/>
                <w:sz w:val="21"/>
              </w:rPr>
              <w:t>Engineered</w:t>
            </w:r>
          </w:p>
        </w:tc>
        <w:tc>
          <w:tcPr>
            <w:tcW w:w="6360" w:type="dxa"/>
            <w:shd w:val="clear" w:color="auto" w:fill="F5F5F5"/>
          </w:tcPr>
          <w:p w14:paraId="0934F030" w14:textId="77777777" w:rsidR="005F1F5B" w:rsidRDefault="005F1F5B" w:rsidP="00C3391D">
            <w:pPr>
              <w:pStyle w:val="TableParagraph"/>
              <w:spacing w:before="67"/>
              <w:rPr>
                <w:sz w:val="21"/>
              </w:rPr>
            </w:pPr>
            <w:r>
              <w:rPr>
                <w:sz w:val="21"/>
              </w:rPr>
              <w:t>5</w:t>
            </w:r>
            <w:r>
              <w:rPr>
                <w:spacing w:val="-1"/>
                <w:sz w:val="21"/>
              </w:rPr>
              <w:t xml:space="preserve"> </w:t>
            </w:r>
            <w:r>
              <w:rPr>
                <w:sz w:val="21"/>
              </w:rPr>
              <w:t>derived</w:t>
            </w:r>
            <w:r>
              <w:rPr>
                <w:spacing w:val="-1"/>
                <w:sz w:val="21"/>
              </w:rPr>
              <w:t xml:space="preserve"> </w:t>
            </w:r>
            <w:r>
              <w:rPr>
                <w:sz w:val="21"/>
              </w:rPr>
              <w:t>process</w:t>
            </w:r>
            <w:r>
              <w:rPr>
                <w:spacing w:val="-1"/>
                <w:sz w:val="21"/>
              </w:rPr>
              <w:t xml:space="preserve"> </w:t>
            </w:r>
            <w:r>
              <w:rPr>
                <w:sz w:val="21"/>
              </w:rPr>
              <w:t>efficiency</w:t>
            </w:r>
            <w:r>
              <w:rPr>
                <w:spacing w:val="-1"/>
                <w:sz w:val="21"/>
              </w:rPr>
              <w:t xml:space="preserve"> </w:t>
            </w:r>
            <w:r>
              <w:rPr>
                <w:spacing w:val="-2"/>
                <w:sz w:val="21"/>
              </w:rPr>
              <w:t>metrics</w:t>
            </w:r>
          </w:p>
        </w:tc>
      </w:tr>
      <w:tr w:rsidR="005F1F5B" w14:paraId="0822163D" w14:textId="77777777" w:rsidTr="005F1F5B">
        <w:trPr>
          <w:trHeight w:val="610"/>
        </w:trPr>
        <w:tc>
          <w:tcPr>
            <w:tcW w:w="3000" w:type="dxa"/>
          </w:tcPr>
          <w:p w14:paraId="46E510F4" w14:textId="77777777" w:rsidR="005F1F5B" w:rsidRDefault="005F1F5B" w:rsidP="00C3391D">
            <w:pPr>
              <w:pStyle w:val="TableParagraph"/>
              <w:rPr>
                <w:sz w:val="21"/>
              </w:rPr>
            </w:pPr>
            <w:r>
              <w:rPr>
                <w:sz w:val="21"/>
              </w:rPr>
              <w:t>Analysis</w:t>
            </w:r>
            <w:r>
              <w:rPr>
                <w:spacing w:val="-2"/>
                <w:sz w:val="21"/>
              </w:rPr>
              <w:t xml:space="preserve"> </w:t>
            </w:r>
            <w:r>
              <w:rPr>
                <w:spacing w:val="-4"/>
                <w:sz w:val="21"/>
              </w:rPr>
              <w:t>Type</w:t>
            </w:r>
          </w:p>
        </w:tc>
        <w:tc>
          <w:tcPr>
            <w:tcW w:w="6360" w:type="dxa"/>
          </w:tcPr>
          <w:p w14:paraId="5CC8383B" w14:textId="77777777" w:rsidR="005F1F5B" w:rsidRDefault="005F1F5B" w:rsidP="00C3391D">
            <w:pPr>
              <w:pStyle w:val="TableParagraph"/>
              <w:rPr>
                <w:sz w:val="21"/>
              </w:rPr>
            </w:pPr>
            <w:r>
              <w:rPr>
                <w:sz w:val="21"/>
              </w:rPr>
              <w:t>Longitudinal</w:t>
            </w:r>
            <w:r>
              <w:rPr>
                <w:spacing w:val="-8"/>
                <w:sz w:val="21"/>
              </w:rPr>
              <w:t xml:space="preserve"> </w:t>
            </w:r>
            <w:r>
              <w:rPr>
                <w:sz w:val="21"/>
              </w:rPr>
              <w:t>time-series,</w:t>
            </w:r>
            <w:r>
              <w:rPr>
                <w:spacing w:val="-8"/>
                <w:sz w:val="21"/>
              </w:rPr>
              <w:t xml:space="preserve"> </w:t>
            </w:r>
            <w:r>
              <w:rPr>
                <w:sz w:val="21"/>
              </w:rPr>
              <w:t>bottleneck</w:t>
            </w:r>
            <w:r>
              <w:rPr>
                <w:spacing w:val="-8"/>
                <w:sz w:val="21"/>
              </w:rPr>
              <w:t xml:space="preserve"> </w:t>
            </w:r>
            <w:r>
              <w:rPr>
                <w:sz w:val="21"/>
              </w:rPr>
              <w:t>detection,</w:t>
            </w:r>
            <w:r>
              <w:rPr>
                <w:spacing w:val="-8"/>
                <w:sz w:val="21"/>
              </w:rPr>
              <w:t xml:space="preserve"> </w:t>
            </w:r>
            <w:r>
              <w:rPr>
                <w:sz w:val="21"/>
              </w:rPr>
              <w:t>temporal</w:t>
            </w:r>
            <w:r>
              <w:rPr>
                <w:spacing w:val="-8"/>
                <w:sz w:val="21"/>
              </w:rPr>
              <w:t xml:space="preserve"> </w:t>
            </w:r>
            <w:r>
              <w:rPr>
                <w:sz w:val="21"/>
              </w:rPr>
              <w:t xml:space="preserve">pattern </w:t>
            </w:r>
            <w:r>
              <w:rPr>
                <w:spacing w:val="-2"/>
                <w:sz w:val="21"/>
              </w:rPr>
              <w:t>analysis</w:t>
            </w:r>
          </w:p>
        </w:tc>
      </w:tr>
      <w:tr w:rsidR="005F1F5B" w14:paraId="3D5A4D0C" w14:textId="77777777" w:rsidTr="005F1F5B">
        <w:trPr>
          <w:trHeight w:val="390"/>
        </w:trPr>
        <w:tc>
          <w:tcPr>
            <w:tcW w:w="3000" w:type="dxa"/>
            <w:shd w:val="clear" w:color="auto" w:fill="F5F5F5"/>
          </w:tcPr>
          <w:p w14:paraId="1EBBDDBB" w14:textId="77777777" w:rsidR="005F1F5B" w:rsidRDefault="005F1F5B" w:rsidP="00C3391D">
            <w:pPr>
              <w:pStyle w:val="TableParagraph"/>
              <w:spacing w:before="81"/>
              <w:rPr>
                <w:sz w:val="21"/>
              </w:rPr>
            </w:pPr>
            <w:r>
              <w:rPr>
                <w:sz w:val="21"/>
              </w:rPr>
              <w:t>Document</w:t>
            </w:r>
            <w:r>
              <w:rPr>
                <w:spacing w:val="-2"/>
                <w:sz w:val="21"/>
              </w:rPr>
              <w:t xml:space="preserve"> </w:t>
            </w:r>
            <w:r>
              <w:rPr>
                <w:spacing w:val="-4"/>
                <w:sz w:val="21"/>
              </w:rPr>
              <w:t>Type</w:t>
            </w:r>
          </w:p>
        </w:tc>
        <w:tc>
          <w:tcPr>
            <w:tcW w:w="6360" w:type="dxa"/>
            <w:shd w:val="clear" w:color="auto" w:fill="F5F5F5"/>
          </w:tcPr>
          <w:p w14:paraId="283611EC" w14:textId="77777777" w:rsidR="005F1F5B" w:rsidRDefault="005F1F5B" w:rsidP="00C3391D">
            <w:pPr>
              <w:pStyle w:val="TableParagraph"/>
              <w:spacing w:before="81"/>
              <w:rPr>
                <w:sz w:val="21"/>
              </w:rPr>
            </w:pPr>
            <w:r>
              <w:rPr>
                <w:sz w:val="21"/>
              </w:rPr>
              <w:t xml:space="preserve">Academic Research Paper — Full </w:t>
            </w:r>
            <w:r>
              <w:rPr>
                <w:spacing w:val="-2"/>
                <w:sz w:val="21"/>
              </w:rPr>
              <w:t>Report</w:t>
            </w:r>
          </w:p>
        </w:tc>
      </w:tr>
    </w:tbl>
    <w:p w14:paraId="4C75CA2D" w14:textId="77777777" w:rsidR="005F1F5B" w:rsidRPr="005F1F5B" w:rsidRDefault="005F1F5B" w:rsidP="005F1F5B">
      <w:pPr>
        <w:spacing w:after="80" w:line="340" w:lineRule="auto"/>
        <w:rPr>
          <w:rFonts w:ascii="Times New Roman" w:hAnsi="Times New Roman" w:cs="Times New Roman"/>
        </w:rPr>
      </w:pPr>
    </w:p>
    <w:p w14:paraId="5AF579B3"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164AB234" w14:textId="77777777" w:rsidR="009D6C83" w:rsidRPr="007A2777" w:rsidRDefault="00830EFB">
      <w:pPr>
        <w:pStyle w:val="Heading1"/>
        <w:rPr>
          <w:rFonts w:ascii="Times New Roman" w:hAnsi="Times New Roman" w:cs="Times New Roman"/>
          <w:color w:val="auto"/>
        </w:rPr>
      </w:pPr>
      <w:bookmarkStart w:id="7" w:name="_Toc232714603"/>
      <w:r w:rsidRPr="007A2777">
        <w:rPr>
          <w:rFonts w:ascii="Times New Roman" w:hAnsi="Times New Roman" w:cs="Times New Roman"/>
          <w:color w:val="auto"/>
        </w:rPr>
        <w:lastRenderedPageBreak/>
        <w:t>2. Data and Methodology</w:t>
      </w:r>
      <w:bookmarkEnd w:id="7"/>
    </w:p>
    <w:p w14:paraId="4AA33720" w14:textId="77777777" w:rsidR="009D6C83" w:rsidRPr="007A2777" w:rsidRDefault="00830EFB">
      <w:pPr>
        <w:pStyle w:val="Heading2"/>
        <w:rPr>
          <w:rFonts w:ascii="Times New Roman" w:hAnsi="Times New Roman" w:cs="Times New Roman"/>
          <w:color w:val="auto"/>
        </w:rPr>
      </w:pPr>
      <w:bookmarkStart w:id="8" w:name="_Toc232714604"/>
      <w:r w:rsidRPr="007A2777">
        <w:rPr>
          <w:rFonts w:ascii="Times New Roman" w:hAnsi="Times New Roman" w:cs="Times New Roman"/>
          <w:color w:val="auto"/>
        </w:rPr>
        <w:t>2.1 Dataset Description</w:t>
      </w:r>
      <w:bookmarkEnd w:id="8"/>
    </w:p>
    <w:p w14:paraId="7286B657"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dataset consists of 720 daily observations spanning January 12, 2023 through December 21, 2025, covering the core operational counts of the UAC pipeline. Each row represents a single reporting day. Table 1 summarizes the raw fields used as the foundation for all derived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6C83" w:rsidRPr="00E15BEA" w14:paraId="595190DF" w14:textId="77777777" w:rsidTr="007A2777">
        <w:trPr>
          <w:tblHeader/>
        </w:trPr>
        <w:tc>
          <w:tcPr>
            <w:tcW w:w="3200" w:type="dxa"/>
            <w:shd w:val="clear" w:color="auto" w:fill="0B3C5D"/>
            <w:tcMar>
              <w:top w:w="80" w:type="dxa"/>
              <w:left w:w="120" w:type="dxa"/>
              <w:bottom w:w="80" w:type="dxa"/>
              <w:right w:w="120" w:type="dxa"/>
            </w:tcMar>
            <w:vAlign w:val="center"/>
          </w:tcPr>
          <w:p w14:paraId="350E2124" w14:textId="77777777" w:rsidR="009D6C83" w:rsidRPr="007A2777" w:rsidRDefault="00830EFB">
            <w:pPr>
              <w:rPr>
                <w:rFonts w:ascii="Times New Roman" w:hAnsi="Times New Roman" w:cs="Times New Roman"/>
                <w:color w:val="auto"/>
              </w:rPr>
            </w:pPr>
            <w:r w:rsidRPr="007A2777">
              <w:rPr>
                <w:rFonts w:ascii="Times New Roman" w:hAnsi="Times New Roman" w:cs="Times New Roman"/>
                <w:b/>
                <w:bCs/>
                <w:color w:val="auto"/>
                <w:sz w:val="20"/>
                <w:szCs w:val="20"/>
              </w:rPr>
              <w:t>Column</w:t>
            </w:r>
          </w:p>
        </w:tc>
        <w:tc>
          <w:tcPr>
            <w:tcW w:w="6160" w:type="dxa"/>
            <w:shd w:val="clear" w:color="auto" w:fill="0B3C5D"/>
            <w:tcMar>
              <w:top w:w="80" w:type="dxa"/>
              <w:left w:w="120" w:type="dxa"/>
              <w:bottom w:w="80" w:type="dxa"/>
              <w:right w:w="120" w:type="dxa"/>
            </w:tcMar>
            <w:vAlign w:val="center"/>
          </w:tcPr>
          <w:p w14:paraId="7A1A2D87" w14:textId="77777777" w:rsidR="009D6C83" w:rsidRPr="007A2777" w:rsidRDefault="00830EFB">
            <w:pPr>
              <w:rPr>
                <w:rFonts w:ascii="Times New Roman" w:hAnsi="Times New Roman" w:cs="Times New Roman"/>
                <w:color w:val="auto"/>
              </w:rPr>
            </w:pPr>
            <w:r w:rsidRPr="007A2777">
              <w:rPr>
                <w:rFonts w:ascii="Times New Roman" w:hAnsi="Times New Roman" w:cs="Times New Roman"/>
                <w:b/>
                <w:bCs/>
                <w:color w:val="auto"/>
                <w:sz w:val="20"/>
                <w:szCs w:val="20"/>
              </w:rPr>
              <w:t>Description</w:t>
            </w:r>
          </w:p>
        </w:tc>
      </w:tr>
      <w:tr w:rsidR="009D6C83" w:rsidRPr="00E15BEA" w14:paraId="3CA6137D" w14:textId="77777777" w:rsidTr="007A2777">
        <w:tc>
          <w:tcPr>
            <w:tcW w:w="3200" w:type="dxa"/>
            <w:tcMar>
              <w:top w:w="80" w:type="dxa"/>
              <w:left w:w="120" w:type="dxa"/>
              <w:bottom w:w="80" w:type="dxa"/>
              <w:right w:w="120" w:type="dxa"/>
            </w:tcMar>
            <w:vAlign w:val="center"/>
          </w:tcPr>
          <w:p w14:paraId="292FAC8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6160" w:type="dxa"/>
            <w:tcMar>
              <w:top w:w="80" w:type="dxa"/>
              <w:left w:w="120" w:type="dxa"/>
              <w:bottom w:w="80" w:type="dxa"/>
              <w:right w:w="120" w:type="dxa"/>
            </w:tcMar>
            <w:vAlign w:val="center"/>
          </w:tcPr>
          <w:p w14:paraId="24FA980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Reporting date for the daily observation</w:t>
            </w:r>
          </w:p>
        </w:tc>
      </w:tr>
      <w:tr w:rsidR="009D6C83" w:rsidRPr="00E15BEA" w14:paraId="541F7142" w14:textId="77777777" w:rsidTr="007A2777">
        <w:tc>
          <w:tcPr>
            <w:tcW w:w="3200" w:type="dxa"/>
            <w:tcMar>
              <w:top w:w="80" w:type="dxa"/>
              <w:left w:w="120" w:type="dxa"/>
              <w:bottom w:w="80" w:type="dxa"/>
              <w:right w:w="120" w:type="dxa"/>
            </w:tcMar>
            <w:vAlign w:val="center"/>
          </w:tcPr>
          <w:p w14:paraId="4A4673E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apprehended and placed in CBP custody</w:t>
            </w:r>
          </w:p>
        </w:tc>
        <w:tc>
          <w:tcPr>
            <w:tcW w:w="6160" w:type="dxa"/>
            <w:tcMar>
              <w:top w:w="80" w:type="dxa"/>
              <w:left w:w="120" w:type="dxa"/>
              <w:bottom w:w="80" w:type="dxa"/>
              <w:right w:w="120" w:type="dxa"/>
            </w:tcMar>
            <w:vAlign w:val="center"/>
          </w:tcPr>
          <w:p w14:paraId="0BDA634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intake volume into CBP custody</w:t>
            </w:r>
          </w:p>
        </w:tc>
      </w:tr>
      <w:tr w:rsidR="009D6C83" w:rsidRPr="00E15BEA" w14:paraId="3304F9A4" w14:textId="77777777" w:rsidTr="007A2777">
        <w:tc>
          <w:tcPr>
            <w:tcW w:w="3200" w:type="dxa"/>
            <w:tcMar>
              <w:top w:w="80" w:type="dxa"/>
              <w:left w:w="120" w:type="dxa"/>
              <w:bottom w:w="80" w:type="dxa"/>
              <w:right w:w="120" w:type="dxa"/>
            </w:tcMar>
            <w:vAlign w:val="center"/>
          </w:tcPr>
          <w:p w14:paraId="5548E25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CBP custody</w:t>
            </w:r>
          </w:p>
        </w:tc>
        <w:tc>
          <w:tcPr>
            <w:tcW w:w="6160" w:type="dxa"/>
            <w:tcMar>
              <w:top w:w="80" w:type="dxa"/>
              <w:left w:w="120" w:type="dxa"/>
              <w:bottom w:w="80" w:type="dxa"/>
              <w:right w:w="120" w:type="dxa"/>
            </w:tcMar>
            <w:vAlign w:val="center"/>
          </w:tcPr>
          <w:p w14:paraId="68201CF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CBP care load (point-in-time population)</w:t>
            </w:r>
          </w:p>
        </w:tc>
      </w:tr>
      <w:tr w:rsidR="009D6C83" w:rsidRPr="00E15BEA" w14:paraId="7F2D451D" w14:textId="77777777" w:rsidTr="007A2777">
        <w:tc>
          <w:tcPr>
            <w:tcW w:w="3200" w:type="dxa"/>
            <w:tcMar>
              <w:top w:w="80" w:type="dxa"/>
              <w:left w:w="120" w:type="dxa"/>
              <w:bottom w:w="80" w:type="dxa"/>
              <w:right w:w="120" w:type="dxa"/>
            </w:tcMar>
            <w:vAlign w:val="center"/>
          </w:tcPr>
          <w:p w14:paraId="60E9D9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transferred out of CBP custody</w:t>
            </w:r>
          </w:p>
        </w:tc>
        <w:tc>
          <w:tcPr>
            <w:tcW w:w="6160" w:type="dxa"/>
            <w:tcMar>
              <w:top w:w="80" w:type="dxa"/>
              <w:left w:w="120" w:type="dxa"/>
              <w:bottom w:w="80" w:type="dxa"/>
              <w:right w:w="120" w:type="dxa"/>
            </w:tcMar>
            <w:vAlign w:val="center"/>
          </w:tcPr>
          <w:p w14:paraId="0644243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flow of children moving into the HHS system</w:t>
            </w:r>
          </w:p>
        </w:tc>
      </w:tr>
      <w:tr w:rsidR="009D6C83" w:rsidRPr="00E15BEA" w14:paraId="2F906642" w14:textId="77777777" w:rsidTr="007A2777">
        <w:tc>
          <w:tcPr>
            <w:tcW w:w="3200" w:type="dxa"/>
            <w:tcMar>
              <w:top w:w="80" w:type="dxa"/>
              <w:left w:w="120" w:type="dxa"/>
              <w:bottom w:w="80" w:type="dxa"/>
              <w:right w:w="120" w:type="dxa"/>
            </w:tcMar>
            <w:vAlign w:val="center"/>
          </w:tcPr>
          <w:p w14:paraId="06C1572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HHS Care</w:t>
            </w:r>
          </w:p>
        </w:tc>
        <w:tc>
          <w:tcPr>
            <w:tcW w:w="6160" w:type="dxa"/>
            <w:tcMar>
              <w:top w:w="80" w:type="dxa"/>
              <w:left w:w="120" w:type="dxa"/>
              <w:bottom w:w="80" w:type="dxa"/>
              <w:right w:w="120" w:type="dxa"/>
            </w:tcMar>
            <w:vAlign w:val="center"/>
          </w:tcPr>
          <w:p w14:paraId="4239697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HHS care load (point-in-time population)</w:t>
            </w:r>
          </w:p>
        </w:tc>
      </w:tr>
      <w:tr w:rsidR="009D6C83" w:rsidRPr="00E15BEA" w14:paraId="6717AB8C" w14:textId="77777777" w:rsidTr="007A2777">
        <w:tc>
          <w:tcPr>
            <w:tcW w:w="3200" w:type="dxa"/>
            <w:tcMar>
              <w:top w:w="80" w:type="dxa"/>
              <w:left w:w="120" w:type="dxa"/>
              <w:bottom w:w="80" w:type="dxa"/>
              <w:right w:w="120" w:type="dxa"/>
            </w:tcMar>
            <w:vAlign w:val="center"/>
          </w:tcPr>
          <w:p w14:paraId="51AFAB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discharged from HHS Care</w:t>
            </w:r>
          </w:p>
        </w:tc>
        <w:tc>
          <w:tcPr>
            <w:tcW w:w="6160" w:type="dxa"/>
            <w:tcMar>
              <w:top w:w="80" w:type="dxa"/>
              <w:left w:w="120" w:type="dxa"/>
              <w:bottom w:w="80" w:type="dxa"/>
              <w:right w:w="120" w:type="dxa"/>
            </w:tcMar>
            <w:vAlign w:val="center"/>
          </w:tcPr>
          <w:p w14:paraId="5B6259B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count of successful sponsor placements</w:t>
            </w:r>
          </w:p>
        </w:tc>
      </w:tr>
    </w:tbl>
    <w:p w14:paraId="121D084F"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1. Raw dataset fields used as inputs to derived process metrics.</w:t>
      </w:r>
    </w:p>
    <w:p w14:paraId="7ED46822" w14:textId="43384151" w:rsidR="009D6C83" w:rsidRPr="007A2777" w:rsidRDefault="00830EFB">
      <w:pPr>
        <w:pStyle w:val="Heading2"/>
        <w:rPr>
          <w:rFonts w:ascii="Times New Roman" w:hAnsi="Times New Roman" w:cs="Times New Roman"/>
          <w:color w:val="auto"/>
        </w:rPr>
      </w:pPr>
      <w:bookmarkStart w:id="9" w:name="_Toc232714605"/>
      <w:r w:rsidRPr="007A2777">
        <w:rPr>
          <w:rFonts w:ascii="Times New Roman" w:hAnsi="Times New Roman" w:cs="Times New Roman"/>
          <w:color w:val="auto"/>
        </w:rPr>
        <w:t>2.2 Care Pipeline Mode</w:t>
      </w:r>
      <w:r w:rsidR="00220A46" w:rsidRPr="007A2777">
        <w:rPr>
          <w:rFonts w:ascii="Times New Roman" w:hAnsi="Times New Roman" w:cs="Times New Roman"/>
          <w:color w:val="auto"/>
        </w:rPr>
        <w:t>l</w:t>
      </w:r>
      <w:r w:rsidRPr="007A2777">
        <w:rPr>
          <w:rFonts w:ascii="Times New Roman" w:hAnsi="Times New Roman" w:cs="Times New Roman"/>
          <w:color w:val="auto"/>
        </w:rPr>
        <w:t>ling</w:t>
      </w:r>
      <w:bookmarkEnd w:id="9"/>
    </w:p>
    <w:p w14:paraId="35ABCB5A" w14:textId="602E9EFC"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UAC system was model</w:t>
      </w:r>
      <w:r w:rsidR="00220A46" w:rsidRPr="00E15BEA">
        <w:rPr>
          <w:rFonts w:ascii="Times New Roman" w:hAnsi="Times New Roman" w:cs="Times New Roman"/>
        </w:rPr>
        <w:t>l</w:t>
      </w:r>
      <w:r w:rsidRPr="00E15BEA">
        <w:rPr>
          <w:rFonts w:ascii="Times New Roman" w:hAnsi="Times New Roman" w:cs="Times New Roman"/>
        </w:rPr>
        <w:t>ed as a sequential flow pipeline with three principal stages: CBP custody, HHS care, and sponsor placement. Daily movements between these stages — apprehension, transfer, and discharge — were tracked as flow variables, while custody and care populations were tracked as stock variables. This stock-and-flow framing allows efficiency and backlog metrics to be computed consistently across the full observation period.</w:t>
      </w:r>
    </w:p>
    <w:p w14:paraId="1AA4FDDC" w14:textId="77777777" w:rsidR="009D6C83" w:rsidRPr="007A2777" w:rsidRDefault="00830EFB">
      <w:pPr>
        <w:pStyle w:val="Heading2"/>
        <w:rPr>
          <w:rFonts w:ascii="Times New Roman" w:hAnsi="Times New Roman" w:cs="Times New Roman"/>
          <w:color w:val="auto"/>
        </w:rPr>
      </w:pPr>
      <w:bookmarkStart w:id="10" w:name="_Toc232714606"/>
      <w:r w:rsidRPr="007A2777">
        <w:rPr>
          <w:rFonts w:ascii="Times New Roman" w:hAnsi="Times New Roman" w:cs="Times New Roman"/>
          <w:color w:val="auto"/>
        </w:rPr>
        <w:t>2.3 Derived Process Efficiency Metrics</w:t>
      </w:r>
      <w:bookmarkEnd w:id="10"/>
    </w:p>
    <w:p w14:paraId="46ABA34F"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Five process-level metrics were derived from the raw flow and stock variables to translate point-in-time counts into operationally meaningful indicators of speed, throughput, and stability.</w:t>
      </w:r>
    </w:p>
    <w:p w14:paraId="41A4E4FE" w14:textId="77777777" w:rsidR="009D6C83" w:rsidRPr="007A2777" w:rsidRDefault="00830EFB">
      <w:pPr>
        <w:pStyle w:val="Heading3"/>
        <w:rPr>
          <w:rFonts w:ascii="Times New Roman" w:hAnsi="Times New Roman" w:cs="Times New Roman"/>
          <w:color w:val="auto"/>
        </w:rPr>
      </w:pPr>
      <w:bookmarkStart w:id="11" w:name="_Toc232714607"/>
      <w:r w:rsidRPr="007A2777">
        <w:rPr>
          <w:rFonts w:ascii="Times New Roman" w:hAnsi="Times New Roman" w:cs="Times New Roman"/>
          <w:color w:val="auto"/>
        </w:rPr>
        <w:t>2.3.1 Transfer Efficiency Ratio</w:t>
      </w:r>
      <w:bookmarkEnd w:id="11"/>
    </w:p>
    <w:p w14:paraId="6DF1AF33"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children transferred out of CBP custody to children held in CBP custody on a given day:</w:t>
      </w:r>
    </w:p>
    <w:p w14:paraId="6BDB29F1"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Transfer Efficiency = Children Transferred ÷ Children in CBP Custody</w:t>
      </w:r>
    </w:p>
    <w:p w14:paraId="51E4EA7A"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Higher values indicate that a larger share of the CBP custody population is being moved into HHS care each day, implying faster transitions and lower temporary custody burden.</w:t>
      </w:r>
    </w:p>
    <w:p w14:paraId="560421C3" w14:textId="77777777" w:rsidR="009D6C83" w:rsidRPr="007A2777" w:rsidRDefault="00830EFB">
      <w:pPr>
        <w:pStyle w:val="Heading3"/>
        <w:rPr>
          <w:rFonts w:ascii="Times New Roman" w:hAnsi="Times New Roman" w:cs="Times New Roman"/>
          <w:color w:val="auto"/>
        </w:rPr>
      </w:pPr>
      <w:bookmarkStart w:id="12" w:name="_Toc232714608"/>
      <w:r w:rsidRPr="007A2777">
        <w:rPr>
          <w:rFonts w:ascii="Times New Roman" w:hAnsi="Times New Roman" w:cs="Times New Roman"/>
          <w:color w:val="auto"/>
        </w:rPr>
        <w:lastRenderedPageBreak/>
        <w:t>2.3.2 Discharge Effectiveness Index</w:t>
      </w:r>
      <w:bookmarkEnd w:id="12"/>
    </w:p>
    <w:p w14:paraId="77900EB4"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children discharged from HHS care to children actively in HHS care:</w:t>
      </w:r>
    </w:p>
    <w:p w14:paraId="6C90F990"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Discharge Effectiveness = Children Discharged ÷ Children in HHS Care</w:t>
      </w:r>
    </w:p>
    <w:p w14:paraId="10C2F1FE"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index captures successful sponsor placement performance relative to the active HHS care population, serving as a proxy for reunification throughput.</w:t>
      </w:r>
    </w:p>
    <w:p w14:paraId="21CA474F" w14:textId="77777777" w:rsidR="009D6C83" w:rsidRPr="007A2777" w:rsidRDefault="00830EFB">
      <w:pPr>
        <w:pStyle w:val="Heading3"/>
        <w:rPr>
          <w:rFonts w:ascii="Times New Roman" w:hAnsi="Times New Roman" w:cs="Times New Roman"/>
          <w:color w:val="auto"/>
        </w:rPr>
      </w:pPr>
      <w:bookmarkStart w:id="13" w:name="_Toc232714609"/>
      <w:r w:rsidRPr="007A2777">
        <w:rPr>
          <w:rFonts w:ascii="Times New Roman" w:hAnsi="Times New Roman" w:cs="Times New Roman"/>
          <w:color w:val="auto"/>
        </w:rPr>
        <w:t>2.3.3 Pipeline Throughput Rate</w:t>
      </w:r>
      <w:bookmarkEnd w:id="13"/>
    </w:p>
    <w:p w14:paraId="681E77B7"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total system exits to total system entries on a given day:</w:t>
      </w:r>
    </w:p>
    <w:p w14:paraId="73E39566"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Pipeline Throughput = Total Exits ÷ Total Entries</w:t>
      </w:r>
    </w:p>
    <w:p w14:paraId="7CE755CC"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A throughput value above 1.0 indicates the system discharged more children than it admitted on that day — a sign the pipeline is working down existing backlog. A value below 1.0 indicates inflow is outpacing outflow, contributing to growing system-wide strain.</w:t>
      </w:r>
    </w:p>
    <w:p w14:paraId="51D37B1A" w14:textId="77777777" w:rsidR="009D6C83" w:rsidRPr="007A2777" w:rsidRDefault="00830EFB">
      <w:pPr>
        <w:pStyle w:val="Heading3"/>
        <w:rPr>
          <w:rFonts w:ascii="Times New Roman" w:hAnsi="Times New Roman" w:cs="Times New Roman"/>
          <w:color w:val="auto"/>
        </w:rPr>
      </w:pPr>
      <w:bookmarkStart w:id="14" w:name="_Toc232714610"/>
      <w:r w:rsidRPr="007A2777">
        <w:rPr>
          <w:rFonts w:ascii="Times New Roman" w:hAnsi="Times New Roman" w:cs="Times New Roman"/>
          <w:color w:val="auto"/>
        </w:rPr>
        <w:t>2.3.4 Backlog Accumulation Rate</w:t>
      </w:r>
      <w:bookmarkEnd w:id="14"/>
    </w:p>
    <w:p w14:paraId="3926885C"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The Transfer Backlog metric quantifies the cumulative imbalance between children entering and successfully exiting the pipeline, capturing sustained periods where inflow outpaces processing capacity. Sustained positive backlog growth signals delay severity within the CBP → HHS transfer stage specifically.</w:t>
      </w:r>
    </w:p>
    <w:p w14:paraId="164A0B30" w14:textId="77777777" w:rsidR="009D6C83" w:rsidRPr="007A2777" w:rsidRDefault="00830EFB">
      <w:pPr>
        <w:pStyle w:val="Heading3"/>
        <w:rPr>
          <w:rFonts w:ascii="Times New Roman" w:hAnsi="Times New Roman" w:cs="Times New Roman"/>
          <w:color w:val="auto"/>
        </w:rPr>
      </w:pPr>
      <w:bookmarkStart w:id="15" w:name="_Toc232714611"/>
      <w:r w:rsidRPr="007A2777">
        <w:rPr>
          <w:rFonts w:ascii="Times New Roman" w:hAnsi="Times New Roman" w:cs="Times New Roman"/>
          <w:color w:val="auto"/>
        </w:rPr>
        <w:t>2.3.5 Outcome Stability Score</w:t>
      </w:r>
      <w:bookmarkEnd w:id="15"/>
    </w:p>
    <w:p w14:paraId="319BFB24"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Outcome stability was assessed using the standard deviation of Discharge Effectiveness alongside a rolling (smoothed) version of the same metric, Rolling Discharge Effectiveness, which dampens day-to-day noise while preserving medium-term trend shifts. Lower variability indicates more consistent, predictable placement outcomes; sudden or sustained departures from the rolling mean signal potential operational instability.</w:t>
      </w:r>
    </w:p>
    <w:p w14:paraId="47FE7197" w14:textId="77777777" w:rsidR="009D6C83" w:rsidRPr="007A2777" w:rsidRDefault="00830EFB">
      <w:pPr>
        <w:pStyle w:val="Heading2"/>
        <w:rPr>
          <w:rFonts w:ascii="Times New Roman" w:hAnsi="Times New Roman" w:cs="Times New Roman"/>
          <w:color w:val="auto"/>
        </w:rPr>
      </w:pPr>
      <w:bookmarkStart w:id="16" w:name="_Toc232714612"/>
      <w:r w:rsidRPr="007A2777">
        <w:rPr>
          <w:rFonts w:ascii="Times New Roman" w:hAnsi="Times New Roman" w:cs="Times New Roman"/>
          <w:color w:val="auto"/>
        </w:rPr>
        <w:t>2.4 Backlog, Stagnation, and Alert Detection</w:t>
      </w:r>
      <w:bookmarkEnd w:id="16"/>
    </w:p>
    <w:p w14:paraId="07587BB6" w14:textId="77777777"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Two auxiliary detection mechanisms were layered on top of the core efficiency metrics. First, a binary Alert flag (Normal / Warning) marks days where pipeline metrics breach operationally meaningful thresholds, providing a simple at-a-glance status indicator. Second, a Stagnation Period counter tracks the number of consecutive days in which Transfer Efficiency remains persistently low; periods of five or more consecutive low-efficiency days were classified as stagnation events, consistent with the threshold used throughout the accompanying dashboard.</w:t>
      </w:r>
    </w:p>
    <w:p w14:paraId="7B9F47D4" w14:textId="77777777" w:rsidR="000D517E" w:rsidRPr="007A2777" w:rsidRDefault="000D517E">
      <w:pPr>
        <w:spacing w:after="160" w:line="360" w:lineRule="auto"/>
        <w:jc w:val="both"/>
        <w:rPr>
          <w:rFonts w:ascii="Times New Roman" w:hAnsi="Times New Roman" w:cs="Times New Roman"/>
          <w:color w:val="auto"/>
        </w:rPr>
      </w:pPr>
    </w:p>
    <w:p w14:paraId="688E9E07" w14:textId="77777777" w:rsidR="009D6C83" w:rsidRPr="007A2777" w:rsidRDefault="00830EFB">
      <w:pPr>
        <w:pStyle w:val="Heading2"/>
        <w:rPr>
          <w:rFonts w:ascii="Times New Roman" w:hAnsi="Times New Roman" w:cs="Times New Roman"/>
          <w:color w:val="auto"/>
        </w:rPr>
      </w:pPr>
      <w:bookmarkStart w:id="17" w:name="_Toc232714613"/>
      <w:r w:rsidRPr="007A2777">
        <w:rPr>
          <w:rFonts w:ascii="Times New Roman" w:hAnsi="Times New Roman" w:cs="Times New Roman"/>
          <w:color w:val="auto"/>
        </w:rPr>
        <w:lastRenderedPageBreak/>
        <w:t>2.5 Temporal and Pattern Analysis</w:t>
      </w:r>
      <w:bookmarkEnd w:id="17"/>
    </w:p>
    <w:p w14:paraId="42515320"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To assess whether pipeline performance varies systematically by time, three temporal analyses were conducted: a weekday-versus-weekend comparison of Transfer Efficiency to detect staffing-related slowdowns, a day-of-week breakdown to identify which specific days underperform, and a month-over-month aggregation of discharge volume to detect seasonal patterns and longer-term shifts in placement throughput.</w:t>
      </w:r>
    </w:p>
    <w:p w14:paraId="44EED1A2" w14:textId="77777777" w:rsidR="009D6C83" w:rsidRPr="007A2777" w:rsidRDefault="00830EFB">
      <w:pPr>
        <w:pStyle w:val="Heading2"/>
        <w:rPr>
          <w:rFonts w:ascii="Times New Roman" w:hAnsi="Times New Roman" w:cs="Times New Roman"/>
          <w:color w:val="auto"/>
        </w:rPr>
      </w:pPr>
      <w:bookmarkStart w:id="18" w:name="_Toc232714614"/>
      <w:r w:rsidRPr="007A2777">
        <w:rPr>
          <w:rFonts w:ascii="Times New Roman" w:hAnsi="Times New Roman" w:cs="Times New Roman"/>
          <w:color w:val="auto"/>
        </w:rPr>
        <w:t>2.6 Analytical Tools</w:t>
      </w:r>
      <w:bookmarkEnd w:id="18"/>
    </w:p>
    <w:p w14:paraId="18ED19FB" w14:textId="77960C39"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All data processing and metric derivation was performed in Python using pandas for data manipulation and NumPy for numerical operations. Visualization was implemented using both Matplotlib (for this paper's static figures) and Plotly (for the interactive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dashboard described in Section 6). The complete interactive dashboard was built using the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framework, enabling real-time date-range filtering and live re</w:t>
      </w:r>
      <w:r w:rsidR="00220A46" w:rsidRPr="00E15BEA">
        <w:rPr>
          <w:rFonts w:ascii="Times New Roman" w:hAnsi="Times New Roman" w:cs="Times New Roman"/>
        </w:rPr>
        <w:t>-</w:t>
      </w:r>
      <w:r w:rsidRPr="00E15BEA">
        <w:rPr>
          <w:rFonts w:ascii="Times New Roman" w:hAnsi="Times New Roman" w:cs="Times New Roman"/>
        </w:rPr>
        <w:t>computation of all KPIs and visualizations.</w:t>
      </w:r>
    </w:p>
    <w:p w14:paraId="5B0A7BC3"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3C3ACFEA" w14:textId="77777777" w:rsidR="009D6C83" w:rsidRPr="007A2777" w:rsidRDefault="00830EFB">
      <w:pPr>
        <w:pStyle w:val="Heading1"/>
        <w:rPr>
          <w:rFonts w:ascii="Times New Roman" w:hAnsi="Times New Roman" w:cs="Times New Roman"/>
          <w:color w:val="auto"/>
        </w:rPr>
      </w:pPr>
      <w:bookmarkStart w:id="19" w:name="_Toc232714615"/>
      <w:r w:rsidRPr="007A2777">
        <w:rPr>
          <w:rFonts w:ascii="Times New Roman" w:hAnsi="Times New Roman" w:cs="Times New Roman"/>
          <w:color w:val="auto"/>
        </w:rPr>
        <w:lastRenderedPageBreak/>
        <w:t>3. Results</w:t>
      </w:r>
      <w:bookmarkEnd w:id="19"/>
    </w:p>
    <w:p w14:paraId="37472950" w14:textId="77777777" w:rsidR="009D6C83" w:rsidRPr="007A2777" w:rsidRDefault="00830EFB">
      <w:pPr>
        <w:pStyle w:val="Heading2"/>
        <w:rPr>
          <w:rFonts w:ascii="Times New Roman" w:hAnsi="Times New Roman" w:cs="Times New Roman"/>
          <w:color w:val="auto"/>
        </w:rPr>
      </w:pPr>
      <w:bookmarkStart w:id="20" w:name="_Toc232714616"/>
      <w:r w:rsidRPr="007A2777">
        <w:rPr>
          <w:rFonts w:ascii="Times New Roman" w:hAnsi="Times New Roman" w:cs="Times New Roman"/>
          <w:color w:val="auto"/>
        </w:rPr>
        <w:t>3.1 Overview of Key Performance Indicators</w:t>
      </w:r>
      <w:bookmarkEnd w:id="20"/>
    </w:p>
    <w:p w14:paraId="4008ABB8"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Table 2 summarizes the five core KPIs computed across the full 720-day observation period. These figures form the quantitative basis for the findings discussed in the remainder of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60"/>
        <w:gridCol w:w="1560"/>
        <w:gridCol w:w="1620"/>
        <w:gridCol w:w="1460"/>
      </w:tblGrid>
      <w:tr w:rsidR="009D6C83" w:rsidRPr="00E15BEA" w14:paraId="5ED9F097" w14:textId="77777777" w:rsidTr="007A2777">
        <w:trPr>
          <w:tblHeader/>
        </w:trPr>
        <w:tc>
          <w:tcPr>
            <w:tcW w:w="3160" w:type="dxa"/>
            <w:shd w:val="clear" w:color="auto" w:fill="0B3C5D"/>
            <w:tcMar>
              <w:top w:w="80" w:type="dxa"/>
              <w:left w:w="120" w:type="dxa"/>
              <w:bottom w:w="80" w:type="dxa"/>
              <w:right w:w="120" w:type="dxa"/>
            </w:tcMar>
            <w:vAlign w:val="center"/>
          </w:tcPr>
          <w:p w14:paraId="27B07A87"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KPI</w:t>
            </w:r>
          </w:p>
        </w:tc>
        <w:tc>
          <w:tcPr>
            <w:tcW w:w="1560" w:type="dxa"/>
            <w:shd w:val="clear" w:color="auto" w:fill="0B3C5D"/>
            <w:tcMar>
              <w:top w:w="80" w:type="dxa"/>
              <w:left w:w="120" w:type="dxa"/>
              <w:bottom w:w="80" w:type="dxa"/>
              <w:right w:w="120" w:type="dxa"/>
            </w:tcMar>
            <w:vAlign w:val="center"/>
          </w:tcPr>
          <w:p w14:paraId="385947DD"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Mean</w:t>
            </w:r>
          </w:p>
        </w:tc>
        <w:tc>
          <w:tcPr>
            <w:tcW w:w="1560" w:type="dxa"/>
            <w:shd w:val="clear" w:color="auto" w:fill="0B3C5D"/>
            <w:tcMar>
              <w:top w:w="80" w:type="dxa"/>
              <w:left w:w="120" w:type="dxa"/>
              <w:bottom w:w="80" w:type="dxa"/>
              <w:right w:w="120" w:type="dxa"/>
            </w:tcMar>
            <w:vAlign w:val="center"/>
          </w:tcPr>
          <w:p w14:paraId="5426B35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Median</w:t>
            </w:r>
          </w:p>
        </w:tc>
        <w:tc>
          <w:tcPr>
            <w:tcW w:w="1620" w:type="dxa"/>
            <w:shd w:val="clear" w:color="auto" w:fill="0B3C5D"/>
            <w:tcMar>
              <w:top w:w="80" w:type="dxa"/>
              <w:left w:w="120" w:type="dxa"/>
              <w:bottom w:w="80" w:type="dxa"/>
              <w:right w:w="120" w:type="dxa"/>
            </w:tcMar>
            <w:vAlign w:val="center"/>
          </w:tcPr>
          <w:p w14:paraId="6BB9EF95"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Std. Dev.</w:t>
            </w:r>
          </w:p>
        </w:tc>
        <w:tc>
          <w:tcPr>
            <w:tcW w:w="1460" w:type="dxa"/>
            <w:shd w:val="clear" w:color="auto" w:fill="0B3C5D"/>
            <w:tcMar>
              <w:top w:w="80" w:type="dxa"/>
              <w:left w:w="120" w:type="dxa"/>
              <w:bottom w:w="80" w:type="dxa"/>
              <w:right w:w="120" w:type="dxa"/>
            </w:tcMar>
            <w:vAlign w:val="center"/>
          </w:tcPr>
          <w:p w14:paraId="57291A11"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Range</w:t>
            </w:r>
          </w:p>
        </w:tc>
      </w:tr>
      <w:tr w:rsidR="009D6C83" w:rsidRPr="00E15BEA" w14:paraId="0B46934D" w14:textId="77777777" w:rsidTr="007A2777">
        <w:tc>
          <w:tcPr>
            <w:tcW w:w="3160" w:type="dxa"/>
            <w:tcMar>
              <w:top w:w="80" w:type="dxa"/>
              <w:left w:w="120" w:type="dxa"/>
              <w:bottom w:w="80" w:type="dxa"/>
              <w:right w:w="120" w:type="dxa"/>
            </w:tcMar>
            <w:vAlign w:val="center"/>
          </w:tcPr>
          <w:p w14:paraId="69EFB8B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Efficiency</w:t>
            </w:r>
          </w:p>
        </w:tc>
        <w:tc>
          <w:tcPr>
            <w:tcW w:w="1560" w:type="dxa"/>
            <w:tcMar>
              <w:top w:w="80" w:type="dxa"/>
              <w:left w:w="120" w:type="dxa"/>
              <w:bottom w:w="80" w:type="dxa"/>
              <w:right w:w="120" w:type="dxa"/>
            </w:tcMar>
            <w:vAlign w:val="center"/>
          </w:tcPr>
          <w:p w14:paraId="2C8DC82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0.691</w:t>
            </w:r>
          </w:p>
        </w:tc>
        <w:tc>
          <w:tcPr>
            <w:tcW w:w="1560" w:type="dxa"/>
            <w:tcMar>
              <w:top w:w="80" w:type="dxa"/>
              <w:left w:w="120" w:type="dxa"/>
              <w:bottom w:w="80" w:type="dxa"/>
              <w:right w:w="120" w:type="dxa"/>
            </w:tcMar>
            <w:vAlign w:val="center"/>
          </w:tcPr>
          <w:p w14:paraId="5644562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0.704</w:t>
            </w:r>
          </w:p>
        </w:tc>
        <w:tc>
          <w:tcPr>
            <w:tcW w:w="1620" w:type="dxa"/>
            <w:tcMar>
              <w:top w:w="80" w:type="dxa"/>
              <w:left w:w="120" w:type="dxa"/>
              <w:bottom w:w="80" w:type="dxa"/>
              <w:right w:w="120" w:type="dxa"/>
            </w:tcMar>
            <w:vAlign w:val="center"/>
          </w:tcPr>
          <w:p w14:paraId="16AB36F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0.310</w:t>
            </w:r>
          </w:p>
        </w:tc>
        <w:tc>
          <w:tcPr>
            <w:tcW w:w="1460" w:type="dxa"/>
            <w:tcMar>
              <w:top w:w="80" w:type="dxa"/>
              <w:left w:w="120" w:type="dxa"/>
              <w:bottom w:w="80" w:type="dxa"/>
              <w:right w:w="120" w:type="dxa"/>
            </w:tcMar>
            <w:vAlign w:val="center"/>
          </w:tcPr>
          <w:p w14:paraId="41699A0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2.300</w:t>
            </w:r>
          </w:p>
        </w:tc>
      </w:tr>
      <w:tr w:rsidR="009D6C83" w:rsidRPr="00E15BEA" w14:paraId="0FBE9B48" w14:textId="77777777" w:rsidTr="007A2777">
        <w:tc>
          <w:tcPr>
            <w:tcW w:w="3160" w:type="dxa"/>
            <w:tcMar>
              <w:top w:w="80" w:type="dxa"/>
              <w:left w:w="120" w:type="dxa"/>
              <w:bottom w:w="80" w:type="dxa"/>
              <w:right w:w="120" w:type="dxa"/>
            </w:tcMar>
            <w:vAlign w:val="center"/>
          </w:tcPr>
          <w:p w14:paraId="2D8DB08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 Effectiveness</w:t>
            </w:r>
          </w:p>
        </w:tc>
        <w:tc>
          <w:tcPr>
            <w:tcW w:w="1560" w:type="dxa"/>
            <w:tcMar>
              <w:top w:w="80" w:type="dxa"/>
              <w:left w:w="120" w:type="dxa"/>
              <w:bottom w:w="80" w:type="dxa"/>
              <w:right w:w="120" w:type="dxa"/>
            </w:tcMar>
            <w:vAlign w:val="center"/>
          </w:tcPr>
          <w:p w14:paraId="2FB96CA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0.024</w:t>
            </w:r>
          </w:p>
        </w:tc>
        <w:tc>
          <w:tcPr>
            <w:tcW w:w="1560" w:type="dxa"/>
            <w:tcMar>
              <w:top w:w="80" w:type="dxa"/>
              <w:left w:w="120" w:type="dxa"/>
              <w:bottom w:w="80" w:type="dxa"/>
              <w:right w:w="120" w:type="dxa"/>
            </w:tcMar>
            <w:vAlign w:val="center"/>
          </w:tcPr>
          <w:p w14:paraId="77892A8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0.026</w:t>
            </w:r>
          </w:p>
        </w:tc>
        <w:tc>
          <w:tcPr>
            <w:tcW w:w="1620" w:type="dxa"/>
            <w:tcMar>
              <w:top w:w="80" w:type="dxa"/>
              <w:left w:w="120" w:type="dxa"/>
              <w:bottom w:w="80" w:type="dxa"/>
              <w:right w:w="120" w:type="dxa"/>
            </w:tcMar>
            <w:vAlign w:val="center"/>
          </w:tcPr>
          <w:p w14:paraId="6432BA7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0.013</w:t>
            </w:r>
          </w:p>
        </w:tc>
        <w:tc>
          <w:tcPr>
            <w:tcW w:w="1460" w:type="dxa"/>
            <w:tcMar>
              <w:top w:w="80" w:type="dxa"/>
              <w:left w:w="120" w:type="dxa"/>
              <w:bottom w:w="80" w:type="dxa"/>
              <w:right w:w="120" w:type="dxa"/>
            </w:tcMar>
            <w:vAlign w:val="center"/>
          </w:tcPr>
          <w:p w14:paraId="0929481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0.066</w:t>
            </w:r>
          </w:p>
        </w:tc>
      </w:tr>
      <w:tr w:rsidR="009D6C83" w:rsidRPr="00E15BEA" w14:paraId="1A3F01FA" w14:textId="77777777" w:rsidTr="007A2777">
        <w:tc>
          <w:tcPr>
            <w:tcW w:w="3160" w:type="dxa"/>
            <w:tcMar>
              <w:top w:w="80" w:type="dxa"/>
              <w:left w:w="120" w:type="dxa"/>
              <w:bottom w:w="80" w:type="dxa"/>
              <w:right w:w="120" w:type="dxa"/>
            </w:tcMar>
            <w:vAlign w:val="center"/>
          </w:tcPr>
          <w:p w14:paraId="1E57CA3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Pipeline Throughput</w:t>
            </w:r>
          </w:p>
        </w:tc>
        <w:tc>
          <w:tcPr>
            <w:tcW w:w="1560" w:type="dxa"/>
            <w:tcMar>
              <w:top w:w="80" w:type="dxa"/>
              <w:left w:w="120" w:type="dxa"/>
              <w:bottom w:w="80" w:type="dxa"/>
              <w:right w:w="120" w:type="dxa"/>
            </w:tcMar>
            <w:vAlign w:val="center"/>
          </w:tcPr>
          <w:p w14:paraId="28F638A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1.073</w:t>
            </w:r>
          </w:p>
        </w:tc>
        <w:tc>
          <w:tcPr>
            <w:tcW w:w="1560" w:type="dxa"/>
            <w:tcMar>
              <w:top w:w="80" w:type="dxa"/>
              <w:left w:w="120" w:type="dxa"/>
              <w:bottom w:w="80" w:type="dxa"/>
              <w:right w:w="120" w:type="dxa"/>
            </w:tcMar>
            <w:vAlign w:val="center"/>
          </w:tcPr>
          <w:p w14:paraId="08E8959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0.721</w:t>
            </w:r>
          </w:p>
        </w:tc>
        <w:tc>
          <w:tcPr>
            <w:tcW w:w="1620" w:type="dxa"/>
            <w:tcMar>
              <w:top w:w="80" w:type="dxa"/>
              <w:left w:w="120" w:type="dxa"/>
              <w:bottom w:w="80" w:type="dxa"/>
              <w:right w:w="120" w:type="dxa"/>
            </w:tcMar>
            <w:vAlign w:val="center"/>
          </w:tcPr>
          <w:p w14:paraId="5DBEC44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1.317</w:t>
            </w:r>
          </w:p>
        </w:tc>
        <w:tc>
          <w:tcPr>
            <w:tcW w:w="1460" w:type="dxa"/>
            <w:tcMar>
              <w:top w:w="80" w:type="dxa"/>
              <w:left w:w="120" w:type="dxa"/>
              <w:bottom w:w="80" w:type="dxa"/>
              <w:right w:w="120" w:type="dxa"/>
            </w:tcMar>
            <w:vAlign w:val="center"/>
          </w:tcPr>
          <w:p w14:paraId="7A7CA12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16.000</w:t>
            </w:r>
          </w:p>
        </w:tc>
      </w:tr>
      <w:tr w:rsidR="009D6C83" w:rsidRPr="00E15BEA" w14:paraId="39E848D5" w14:textId="77777777" w:rsidTr="007A2777">
        <w:tc>
          <w:tcPr>
            <w:tcW w:w="3160" w:type="dxa"/>
            <w:tcMar>
              <w:top w:w="80" w:type="dxa"/>
              <w:left w:w="120" w:type="dxa"/>
              <w:bottom w:w="80" w:type="dxa"/>
              <w:right w:w="120" w:type="dxa"/>
            </w:tcMar>
            <w:vAlign w:val="center"/>
          </w:tcPr>
          <w:p w14:paraId="7E3B9F4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Backlog (children)</w:t>
            </w:r>
          </w:p>
        </w:tc>
        <w:tc>
          <w:tcPr>
            <w:tcW w:w="1560" w:type="dxa"/>
            <w:tcMar>
              <w:top w:w="80" w:type="dxa"/>
              <w:left w:w="120" w:type="dxa"/>
              <w:bottom w:w="80" w:type="dxa"/>
              <w:right w:w="120" w:type="dxa"/>
            </w:tcMar>
            <w:vAlign w:val="center"/>
          </w:tcPr>
          <w:p w14:paraId="505A16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42.8</w:t>
            </w:r>
          </w:p>
        </w:tc>
        <w:tc>
          <w:tcPr>
            <w:tcW w:w="1560" w:type="dxa"/>
            <w:tcMar>
              <w:top w:w="80" w:type="dxa"/>
              <w:left w:w="120" w:type="dxa"/>
              <w:bottom w:w="80" w:type="dxa"/>
              <w:right w:w="120" w:type="dxa"/>
            </w:tcMar>
            <w:vAlign w:val="center"/>
          </w:tcPr>
          <w:p w14:paraId="2B2D40B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28.0</w:t>
            </w:r>
          </w:p>
        </w:tc>
        <w:tc>
          <w:tcPr>
            <w:tcW w:w="1620" w:type="dxa"/>
            <w:tcMar>
              <w:top w:w="80" w:type="dxa"/>
              <w:left w:w="120" w:type="dxa"/>
              <w:bottom w:w="80" w:type="dxa"/>
              <w:right w:w="120" w:type="dxa"/>
            </w:tcMar>
            <w:vAlign w:val="center"/>
          </w:tcPr>
          <w:p w14:paraId="021840B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51.8</w:t>
            </w:r>
          </w:p>
        </w:tc>
        <w:tc>
          <w:tcPr>
            <w:tcW w:w="1460" w:type="dxa"/>
            <w:tcMar>
              <w:top w:w="80" w:type="dxa"/>
              <w:left w:w="120" w:type="dxa"/>
              <w:bottom w:w="80" w:type="dxa"/>
              <w:right w:w="120" w:type="dxa"/>
            </w:tcMar>
            <w:vAlign w:val="center"/>
          </w:tcPr>
          <w:p w14:paraId="7777619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–73 – 304</w:t>
            </w:r>
          </w:p>
        </w:tc>
      </w:tr>
      <w:tr w:rsidR="009D6C83" w:rsidRPr="00E15BEA" w14:paraId="433902FF" w14:textId="77777777" w:rsidTr="007A2777">
        <w:tc>
          <w:tcPr>
            <w:tcW w:w="3160" w:type="dxa"/>
            <w:tcMar>
              <w:top w:w="80" w:type="dxa"/>
              <w:left w:w="120" w:type="dxa"/>
              <w:bottom w:w="80" w:type="dxa"/>
              <w:right w:w="120" w:type="dxa"/>
            </w:tcMar>
            <w:vAlign w:val="center"/>
          </w:tcPr>
          <w:p w14:paraId="1F3EF5E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HHS Care Load Ratio</w:t>
            </w:r>
          </w:p>
        </w:tc>
        <w:tc>
          <w:tcPr>
            <w:tcW w:w="1560" w:type="dxa"/>
            <w:tcMar>
              <w:top w:w="80" w:type="dxa"/>
              <w:left w:w="120" w:type="dxa"/>
              <w:bottom w:w="80" w:type="dxa"/>
              <w:right w:w="120" w:type="dxa"/>
            </w:tcMar>
            <w:vAlign w:val="center"/>
          </w:tcPr>
          <w:p w14:paraId="4D6CC00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0.977</w:t>
            </w:r>
          </w:p>
        </w:tc>
        <w:tc>
          <w:tcPr>
            <w:tcW w:w="1560" w:type="dxa"/>
            <w:tcMar>
              <w:top w:w="80" w:type="dxa"/>
              <w:left w:w="120" w:type="dxa"/>
              <w:bottom w:w="80" w:type="dxa"/>
              <w:right w:w="120" w:type="dxa"/>
            </w:tcMar>
            <w:vAlign w:val="center"/>
          </w:tcPr>
          <w:p w14:paraId="600F212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0.974</w:t>
            </w:r>
          </w:p>
        </w:tc>
        <w:tc>
          <w:tcPr>
            <w:tcW w:w="1620" w:type="dxa"/>
            <w:tcMar>
              <w:top w:w="80" w:type="dxa"/>
              <w:left w:w="120" w:type="dxa"/>
              <w:bottom w:w="80" w:type="dxa"/>
              <w:right w:w="120" w:type="dxa"/>
            </w:tcMar>
            <w:vAlign w:val="center"/>
          </w:tcPr>
          <w:p w14:paraId="3F77F53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0.013</w:t>
            </w:r>
          </w:p>
        </w:tc>
        <w:tc>
          <w:tcPr>
            <w:tcW w:w="1460" w:type="dxa"/>
            <w:tcMar>
              <w:top w:w="80" w:type="dxa"/>
              <w:left w:w="120" w:type="dxa"/>
              <w:bottom w:w="80" w:type="dxa"/>
              <w:right w:w="120" w:type="dxa"/>
            </w:tcMar>
            <w:vAlign w:val="center"/>
          </w:tcPr>
          <w:p w14:paraId="7807183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0.938 – 1.000</w:t>
            </w:r>
          </w:p>
        </w:tc>
      </w:tr>
    </w:tbl>
    <w:p w14:paraId="7D34C4C7"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2. Summary statistics for core pipeline KPIs across the full 720-day period.</w:t>
      </w:r>
    </w:p>
    <w:p w14:paraId="6C6E05D2" w14:textId="77777777" w:rsidR="009D6C83" w:rsidRPr="007A2777" w:rsidRDefault="00830EFB">
      <w:pPr>
        <w:pStyle w:val="Heading2"/>
        <w:rPr>
          <w:rFonts w:ascii="Times New Roman" w:hAnsi="Times New Roman" w:cs="Times New Roman"/>
          <w:color w:val="auto"/>
        </w:rPr>
      </w:pPr>
      <w:bookmarkStart w:id="21" w:name="_Toc232714617"/>
      <w:r w:rsidRPr="007A2777">
        <w:rPr>
          <w:rFonts w:ascii="Times New Roman" w:hAnsi="Times New Roman" w:cs="Times New Roman"/>
          <w:color w:val="auto"/>
        </w:rPr>
        <w:t>3.2 Transfer Efficiency</w:t>
      </w:r>
      <w:bookmarkEnd w:id="21"/>
    </w:p>
    <w:p w14:paraId="53E2291F"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Transfer Efficiency averaged 0.691 across the observation period, with a median of 0.704 and a standard deviation of 0.310, indicating moderate day-to-day variability. The metric ranged from a minimum of 0.000 (days with no transfers recorded) to a maximum of 2.300. Figure 1 shows the full daily trend alongside the period mean.</w:t>
      </w:r>
    </w:p>
    <w:p w14:paraId="26507064"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2627E8CC" wp14:editId="2F30CDFB">
            <wp:extent cx="5667375" cy="2476500"/>
            <wp:effectExtent l="0" t="0" r="7620" b="381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476500"/>
                    </a:xfrm>
                    <a:prstGeom prst="rect">
                      <a:avLst/>
                    </a:prstGeom>
                  </pic:spPr>
                </pic:pic>
              </a:graphicData>
            </a:graphic>
          </wp:inline>
        </w:drawing>
      </w:r>
    </w:p>
    <w:p w14:paraId="76F475E8"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1. Transfer Efficiency over time, January 2023 – December 2025.</w:t>
      </w:r>
    </w:p>
    <w:p w14:paraId="1B5C2D5C"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Visual inspection of Figure 1 shows no clear long-term upward or downward trend; rather, efficiency oscillates around the mean with periodic spikes, consistent with day-level operational variation rather than a structural shift in CBP-to-HHS transfer capacity.</w:t>
      </w:r>
    </w:p>
    <w:p w14:paraId="3A44E170" w14:textId="77777777" w:rsidR="009D6C83" w:rsidRPr="007A2777" w:rsidRDefault="00830EFB">
      <w:pPr>
        <w:pStyle w:val="Heading2"/>
        <w:rPr>
          <w:rFonts w:ascii="Times New Roman" w:hAnsi="Times New Roman" w:cs="Times New Roman"/>
          <w:color w:val="auto"/>
        </w:rPr>
      </w:pPr>
      <w:bookmarkStart w:id="22" w:name="_Toc232714618"/>
      <w:r w:rsidRPr="007A2777">
        <w:rPr>
          <w:rFonts w:ascii="Times New Roman" w:hAnsi="Times New Roman" w:cs="Times New Roman"/>
          <w:color w:val="auto"/>
        </w:rPr>
        <w:lastRenderedPageBreak/>
        <w:t>3.3 Discharge Effectiveness</w:t>
      </w:r>
      <w:bookmarkEnd w:id="22"/>
    </w:p>
    <w:p w14:paraId="7F89564F" w14:textId="7D307BF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Discharge Effectiveness averaged 0.024 (median 0.026, standard deviation 0.013). Figure 3 presents the full distribution, which is approximately bimodal with a cluster of low-effectiveness days near zero and a broader cluster </w:t>
      </w:r>
      <w:proofErr w:type="spellStart"/>
      <w:r w:rsidRPr="00E15BEA">
        <w:rPr>
          <w:rFonts w:ascii="Times New Roman" w:hAnsi="Times New Roman" w:cs="Times New Roman"/>
        </w:rPr>
        <w:t>cent</w:t>
      </w:r>
      <w:r w:rsidR="00B573C1" w:rsidRPr="00E15BEA">
        <w:rPr>
          <w:rFonts w:ascii="Times New Roman" w:hAnsi="Times New Roman" w:cs="Times New Roman"/>
        </w:rPr>
        <w:t>e</w:t>
      </w:r>
      <w:r w:rsidRPr="00E15BEA">
        <w:rPr>
          <w:rFonts w:ascii="Times New Roman" w:hAnsi="Times New Roman" w:cs="Times New Roman"/>
        </w:rPr>
        <w:t>red</w:t>
      </w:r>
      <w:proofErr w:type="spellEnd"/>
      <w:r w:rsidRPr="00E15BEA">
        <w:rPr>
          <w:rFonts w:ascii="Times New Roman" w:hAnsi="Times New Roman" w:cs="Times New Roman"/>
        </w:rPr>
        <w:t xml:space="preserve"> closer to the mean, suggesting two distinct operating regimes — periods of normal discharge processing and periods of discharge stoppage or severe slowdown.</w:t>
      </w:r>
    </w:p>
    <w:p w14:paraId="52C0FF9F"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6E4E3044" wp14:editId="489EA2EE">
            <wp:extent cx="5667375" cy="2476500"/>
            <wp:effectExtent l="0" t="0" r="0" b="0"/>
            <wp:docPr id="1921256899"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476500"/>
                    </a:xfrm>
                    <a:prstGeom prst="rect">
                      <a:avLst/>
                    </a:prstGeom>
                  </pic:spPr>
                </pic:pic>
              </a:graphicData>
            </a:graphic>
          </wp:inline>
        </w:drawing>
      </w:r>
    </w:p>
    <w:p w14:paraId="511B5864"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3. Distribution of Discharge Effectiveness across the observation period.</w:t>
      </w:r>
    </w:p>
    <w:p w14:paraId="211AE82B" w14:textId="77777777" w:rsidR="009D6C83" w:rsidRPr="007A2777" w:rsidRDefault="00830EFB">
      <w:pPr>
        <w:pStyle w:val="Heading2"/>
        <w:rPr>
          <w:rFonts w:ascii="Times New Roman" w:hAnsi="Times New Roman" w:cs="Times New Roman"/>
          <w:color w:val="auto"/>
        </w:rPr>
      </w:pPr>
      <w:bookmarkStart w:id="23" w:name="_Toc232714619"/>
      <w:r w:rsidRPr="007A2777">
        <w:rPr>
          <w:rFonts w:ascii="Times New Roman" w:hAnsi="Times New Roman" w:cs="Times New Roman"/>
          <w:color w:val="auto"/>
        </w:rPr>
        <w:t>3.4 Backlog Accumulation</w:t>
      </w:r>
      <w:bookmarkEnd w:id="23"/>
    </w:p>
    <w:p w14:paraId="20498C6B"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Transfer Backlog averaged 42.8 children per day (median 28.0), with substantial variability (standard deviation 51.8). The metric reached a period maximum of 304 children on May 29, 2024 — the single most severe backlog day in the dataset. Table 3 lists the five highest-backlog days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6C83" w:rsidRPr="00E15BEA" w14:paraId="4F0DD9D8" w14:textId="77777777" w:rsidTr="007A2777">
        <w:trPr>
          <w:tblHeader/>
        </w:trPr>
        <w:tc>
          <w:tcPr>
            <w:tcW w:w="4680" w:type="dxa"/>
            <w:shd w:val="clear" w:color="auto" w:fill="0B3C5D"/>
            <w:tcMar>
              <w:top w:w="80" w:type="dxa"/>
              <w:left w:w="120" w:type="dxa"/>
              <w:bottom w:w="80" w:type="dxa"/>
              <w:right w:w="120" w:type="dxa"/>
            </w:tcMar>
            <w:vAlign w:val="center"/>
          </w:tcPr>
          <w:p w14:paraId="409CB3B2"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Date</w:t>
            </w:r>
          </w:p>
        </w:tc>
        <w:tc>
          <w:tcPr>
            <w:tcW w:w="4680" w:type="dxa"/>
            <w:shd w:val="clear" w:color="auto" w:fill="0B3C5D"/>
            <w:tcMar>
              <w:top w:w="80" w:type="dxa"/>
              <w:left w:w="120" w:type="dxa"/>
              <w:bottom w:w="80" w:type="dxa"/>
              <w:right w:w="120" w:type="dxa"/>
            </w:tcMar>
            <w:vAlign w:val="center"/>
          </w:tcPr>
          <w:p w14:paraId="56A690CD"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Transfer Backlog (children)</w:t>
            </w:r>
          </w:p>
        </w:tc>
      </w:tr>
      <w:tr w:rsidR="009D6C83" w:rsidRPr="00E15BEA" w14:paraId="0D81C041" w14:textId="77777777" w:rsidTr="007A2777">
        <w:tc>
          <w:tcPr>
            <w:tcW w:w="4680" w:type="dxa"/>
            <w:tcMar>
              <w:top w:w="80" w:type="dxa"/>
              <w:left w:w="120" w:type="dxa"/>
              <w:bottom w:w="80" w:type="dxa"/>
              <w:right w:w="120" w:type="dxa"/>
            </w:tcMar>
            <w:vAlign w:val="center"/>
          </w:tcPr>
          <w:p w14:paraId="616B17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May 29, 2024</w:t>
            </w:r>
          </w:p>
        </w:tc>
        <w:tc>
          <w:tcPr>
            <w:tcW w:w="4680" w:type="dxa"/>
            <w:tcMar>
              <w:top w:w="80" w:type="dxa"/>
              <w:left w:w="120" w:type="dxa"/>
              <w:bottom w:w="80" w:type="dxa"/>
              <w:right w:w="120" w:type="dxa"/>
            </w:tcMar>
            <w:vAlign w:val="center"/>
          </w:tcPr>
          <w:p w14:paraId="646B900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304</w:t>
            </w:r>
          </w:p>
        </w:tc>
      </w:tr>
      <w:tr w:rsidR="009D6C83" w:rsidRPr="00E15BEA" w14:paraId="2B76509B" w14:textId="77777777" w:rsidTr="007A2777">
        <w:tc>
          <w:tcPr>
            <w:tcW w:w="4680" w:type="dxa"/>
            <w:tcMar>
              <w:top w:w="80" w:type="dxa"/>
              <w:left w:w="120" w:type="dxa"/>
              <w:bottom w:w="80" w:type="dxa"/>
              <w:right w:w="120" w:type="dxa"/>
            </w:tcMar>
            <w:vAlign w:val="center"/>
          </w:tcPr>
          <w:p w14:paraId="45B9315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11, 2024</w:t>
            </w:r>
          </w:p>
        </w:tc>
        <w:tc>
          <w:tcPr>
            <w:tcW w:w="4680" w:type="dxa"/>
            <w:tcMar>
              <w:top w:w="80" w:type="dxa"/>
              <w:left w:w="120" w:type="dxa"/>
              <w:bottom w:w="80" w:type="dxa"/>
              <w:right w:w="120" w:type="dxa"/>
            </w:tcMar>
            <w:vAlign w:val="center"/>
          </w:tcPr>
          <w:p w14:paraId="6CA5B0A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289</w:t>
            </w:r>
          </w:p>
        </w:tc>
      </w:tr>
      <w:tr w:rsidR="009D6C83" w:rsidRPr="00E15BEA" w14:paraId="77B0142A" w14:textId="77777777" w:rsidTr="007A2777">
        <w:tc>
          <w:tcPr>
            <w:tcW w:w="4680" w:type="dxa"/>
            <w:tcMar>
              <w:top w:w="80" w:type="dxa"/>
              <w:left w:w="120" w:type="dxa"/>
              <w:bottom w:w="80" w:type="dxa"/>
              <w:right w:w="120" w:type="dxa"/>
            </w:tcMar>
            <w:vAlign w:val="center"/>
          </w:tcPr>
          <w:p w14:paraId="74FF19A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4, 2024</w:t>
            </w:r>
          </w:p>
        </w:tc>
        <w:tc>
          <w:tcPr>
            <w:tcW w:w="4680" w:type="dxa"/>
            <w:tcMar>
              <w:top w:w="80" w:type="dxa"/>
              <w:left w:w="120" w:type="dxa"/>
              <w:bottom w:w="80" w:type="dxa"/>
              <w:right w:w="120" w:type="dxa"/>
            </w:tcMar>
            <w:vAlign w:val="center"/>
          </w:tcPr>
          <w:p w14:paraId="7988299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283</w:t>
            </w:r>
          </w:p>
        </w:tc>
      </w:tr>
      <w:tr w:rsidR="009D6C83" w:rsidRPr="00E15BEA" w14:paraId="20E5A774" w14:textId="77777777" w:rsidTr="007A2777">
        <w:tc>
          <w:tcPr>
            <w:tcW w:w="4680" w:type="dxa"/>
            <w:tcMar>
              <w:top w:w="80" w:type="dxa"/>
              <w:left w:w="120" w:type="dxa"/>
              <w:bottom w:w="80" w:type="dxa"/>
              <w:right w:w="120" w:type="dxa"/>
            </w:tcMar>
            <w:vAlign w:val="center"/>
          </w:tcPr>
          <w:p w14:paraId="390283C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April 30, 2024</w:t>
            </w:r>
          </w:p>
        </w:tc>
        <w:tc>
          <w:tcPr>
            <w:tcW w:w="4680" w:type="dxa"/>
            <w:tcMar>
              <w:top w:w="80" w:type="dxa"/>
              <w:left w:w="120" w:type="dxa"/>
              <w:bottom w:w="80" w:type="dxa"/>
              <w:right w:w="120" w:type="dxa"/>
            </w:tcMar>
            <w:vAlign w:val="center"/>
          </w:tcPr>
          <w:p w14:paraId="308607C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249</w:t>
            </w:r>
          </w:p>
        </w:tc>
      </w:tr>
      <w:tr w:rsidR="009D6C83" w:rsidRPr="00E15BEA" w14:paraId="66997F36" w14:textId="77777777" w:rsidTr="007A2777">
        <w:tc>
          <w:tcPr>
            <w:tcW w:w="4680" w:type="dxa"/>
            <w:tcMar>
              <w:top w:w="80" w:type="dxa"/>
              <w:left w:w="120" w:type="dxa"/>
              <w:bottom w:w="80" w:type="dxa"/>
              <w:right w:w="120" w:type="dxa"/>
            </w:tcMar>
            <w:vAlign w:val="center"/>
          </w:tcPr>
          <w:p w14:paraId="2555C32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15, 2024</w:t>
            </w:r>
          </w:p>
        </w:tc>
        <w:tc>
          <w:tcPr>
            <w:tcW w:w="4680" w:type="dxa"/>
            <w:tcMar>
              <w:top w:w="80" w:type="dxa"/>
              <w:left w:w="120" w:type="dxa"/>
              <w:bottom w:w="80" w:type="dxa"/>
              <w:right w:w="120" w:type="dxa"/>
            </w:tcMar>
            <w:vAlign w:val="center"/>
          </w:tcPr>
          <w:p w14:paraId="662CFAA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236</w:t>
            </w:r>
          </w:p>
        </w:tc>
      </w:tr>
    </w:tbl>
    <w:p w14:paraId="29B21595"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3. Top five highest transfer backlog days in the observation period.</w:t>
      </w:r>
    </w:p>
    <w:p w14:paraId="2FF2BC3D"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Notably, four of the five most severe backlog days cluster within the February–May 2024 window, suggesting a sustained period of system strain rather than isolated one-off events. Across the full dataset, 628 of 720 days (87.2%) recorded a positive backlog, while 86 days (12.0%) recorded a negative backlog </w:t>
      </w:r>
      <w:r w:rsidRPr="00E15BEA">
        <w:rPr>
          <w:rFonts w:ascii="Times New Roman" w:hAnsi="Times New Roman" w:cs="Times New Roman"/>
        </w:rPr>
        <w:lastRenderedPageBreak/>
        <w:t>— meaning more children exited the pipeline than entered it, indicating the system was actively working down prior accumulation. Figure 2 plots the full backlog trend.</w:t>
      </w:r>
    </w:p>
    <w:p w14:paraId="0E2C321A"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8DD529D" wp14:editId="2DB715D2">
            <wp:extent cx="5667375" cy="2476500"/>
            <wp:effectExtent l="0" t="0" r="0" b="0"/>
            <wp:docPr id="140443642"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476500"/>
                    </a:xfrm>
                    <a:prstGeom prst="rect">
                      <a:avLst/>
                    </a:prstGeom>
                  </pic:spPr>
                </pic:pic>
              </a:graphicData>
            </a:graphic>
          </wp:inline>
        </w:drawing>
      </w:r>
    </w:p>
    <w:p w14:paraId="508ABCED"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2. Transfer Backlog over time, showing the concentrated 2024 strain period.</w:t>
      </w:r>
    </w:p>
    <w:p w14:paraId="757EB3C0" w14:textId="77777777" w:rsidR="009D6C83" w:rsidRPr="007A2777" w:rsidRDefault="00830EFB">
      <w:pPr>
        <w:pStyle w:val="Heading2"/>
        <w:rPr>
          <w:rFonts w:ascii="Times New Roman" w:hAnsi="Times New Roman" w:cs="Times New Roman"/>
          <w:color w:val="auto"/>
        </w:rPr>
      </w:pPr>
      <w:bookmarkStart w:id="24" w:name="_Toc232714620"/>
      <w:r w:rsidRPr="007A2777">
        <w:rPr>
          <w:rFonts w:ascii="Times New Roman" w:hAnsi="Times New Roman" w:cs="Times New Roman"/>
          <w:color w:val="auto"/>
        </w:rPr>
        <w:t>3.5 Warning Alerts and Stagnation</w:t>
      </w:r>
      <w:bookmarkEnd w:id="24"/>
    </w:p>
    <w:p w14:paraId="18C2BCEC"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Of the 720 total observation days, 175 (24.3%) were flagged with a Warning alert under the operational threshold criteria, while the remaining 545 days (75.7%) were classified as Normal. Separately, 155 days (21.5%) fell within a stagnation period of five or more consecutive low-efficiency days, with the longest single stagnation streak lasting 7 consecutive days. The average stagnation period length across all days was 1.69 days, indicating that while short dips in efficiency are common, sustained multi-day stagnation events of five-plus days remain a meaningful minority of total operating days. Figure 7 visualizes stagnation periods over time relative to the five-day threshold.</w:t>
      </w:r>
    </w:p>
    <w:p w14:paraId="01D65A11"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63CCE963" wp14:editId="47225B79">
            <wp:extent cx="5667375" cy="2486025"/>
            <wp:effectExtent l="0" t="0" r="0" b="0"/>
            <wp:docPr id="157876532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486025"/>
                    </a:xfrm>
                    <a:prstGeom prst="rect">
                      <a:avLst/>
                    </a:prstGeom>
                  </pic:spPr>
                </pic:pic>
              </a:graphicData>
            </a:graphic>
          </wp:inline>
        </w:drawing>
      </w:r>
    </w:p>
    <w:p w14:paraId="1749F7B9"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7. Stagnation Period over time, with detected stagnation days (5+ consecutive days) highlighted.</w:t>
      </w:r>
    </w:p>
    <w:p w14:paraId="0BB13ADF" w14:textId="77777777" w:rsidR="009D6C83" w:rsidRPr="007A2777" w:rsidRDefault="00830EFB">
      <w:pPr>
        <w:pStyle w:val="Heading2"/>
        <w:rPr>
          <w:rFonts w:ascii="Times New Roman" w:hAnsi="Times New Roman" w:cs="Times New Roman"/>
          <w:color w:val="auto"/>
        </w:rPr>
      </w:pPr>
      <w:bookmarkStart w:id="25" w:name="_Toc232714621"/>
      <w:r w:rsidRPr="007A2777">
        <w:rPr>
          <w:rFonts w:ascii="Times New Roman" w:hAnsi="Times New Roman" w:cs="Times New Roman"/>
          <w:color w:val="auto"/>
        </w:rPr>
        <w:lastRenderedPageBreak/>
        <w:t>3.6 Outcome Stability</w:t>
      </w:r>
      <w:bookmarkEnd w:id="25"/>
    </w:p>
    <w:p w14:paraId="292C2C25" w14:textId="77777777" w:rsidR="009D6C83" w:rsidRDefault="00830EFB">
      <w:pPr>
        <w:spacing w:after="160" w:line="360" w:lineRule="auto"/>
        <w:jc w:val="both"/>
        <w:rPr>
          <w:rFonts w:ascii="Times New Roman" w:hAnsi="Times New Roman" w:cs="Times New Roman"/>
        </w:rPr>
      </w:pPr>
      <w:r w:rsidRPr="00E15BEA">
        <w:rPr>
          <w:rFonts w:ascii="Times New Roman" w:hAnsi="Times New Roman" w:cs="Times New Roman"/>
        </w:rPr>
        <w:t>Rolling Discharge Effectiveness — a smoothed version of the raw discharge effectiveness metric — averaged 0.0238 with a standard deviation of 0.0119, slightly lower than the raw metric's standard deviation of 0.0133. This modest reduction in variability after smoothing suggests that a portion of the volatility in raw discharge effectiveness reflects short-term noise rather than persistent structural instability, though the underlying signal still exhibits meaningful drift over the period, as shown in Figure 6.</w:t>
      </w:r>
    </w:p>
    <w:p w14:paraId="6813049A" w14:textId="77777777" w:rsidR="000D517E" w:rsidRPr="000D517E" w:rsidRDefault="000D517E">
      <w:pPr>
        <w:spacing w:after="160" w:line="360" w:lineRule="auto"/>
        <w:jc w:val="both"/>
        <w:rPr>
          <w:rFonts w:ascii="Times New Roman" w:hAnsi="Times New Roman" w:cs="Times New Roman"/>
          <w:sz w:val="2"/>
          <w:szCs w:val="2"/>
        </w:rPr>
      </w:pPr>
    </w:p>
    <w:p w14:paraId="1EA64496"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C1C0900" wp14:editId="2A9208E3">
            <wp:extent cx="5667375" cy="2476500"/>
            <wp:effectExtent l="0" t="0" r="0" b="0"/>
            <wp:docPr id="15340718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476500"/>
                    </a:xfrm>
                    <a:prstGeom prst="rect">
                      <a:avLst/>
                    </a:prstGeom>
                  </pic:spPr>
                </pic:pic>
              </a:graphicData>
            </a:graphic>
          </wp:inline>
        </w:drawing>
      </w:r>
    </w:p>
    <w:p w14:paraId="6BA1EA5C" w14:textId="77777777" w:rsidR="009D6C83" w:rsidRDefault="00830EFB">
      <w:pPr>
        <w:spacing w:before="80" w:after="240"/>
        <w:jc w:val="center"/>
        <w:rPr>
          <w:rFonts w:ascii="Times New Roman" w:hAnsi="Times New Roman" w:cs="Times New Roman"/>
          <w:i/>
          <w:iCs/>
          <w:color w:val="555555"/>
          <w:sz w:val="20"/>
          <w:szCs w:val="20"/>
        </w:rPr>
      </w:pPr>
      <w:r w:rsidRPr="00E15BEA">
        <w:rPr>
          <w:rFonts w:ascii="Times New Roman" w:hAnsi="Times New Roman" w:cs="Times New Roman"/>
          <w:i/>
          <w:iCs/>
          <w:color w:val="555555"/>
          <w:sz w:val="20"/>
          <w:szCs w:val="20"/>
        </w:rPr>
        <w:t>Figure 6. Rolling Discharge Effectiveness with a ±1 standard deviation stability band.</w:t>
      </w:r>
    </w:p>
    <w:p w14:paraId="55DADAA3" w14:textId="77777777" w:rsidR="000D517E" w:rsidRPr="000D517E" w:rsidRDefault="000D517E">
      <w:pPr>
        <w:spacing w:before="80" w:after="240"/>
        <w:jc w:val="center"/>
        <w:rPr>
          <w:rFonts w:ascii="Times New Roman" w:hAnsi="Times New Roman" w:cs="Times New Roman"/>
          <w:sz w:val="2"/>
          <w:szCs w:val="2"/>
        </w:rPr>
      </w:pPr>
    </w:p>
    <w:p w14:paraId="3DA8AA48" w14:textId="77777777" w:rsidR="009D6C83" w:rsidRPr="007A2777" w:rsidRDefault="00830EFB">
      <w:pPr>
        <w:pStyle w:val="Heading2"/>
        <w:rPr>
          <w:rFonts w:ascii="Times New Roman" w:hAnsi="Times New Roman" w:cs="Times New Roman"/>
          <w:color w:val="auto"/>
        </w:rPr>
      </w:pPr>
      <w:bookmarkStart w:id="26" w:name="_Toc232714622"/>
      <w:r w:rsidRPr="007A2777">
        <w:rPr>
          <w:rFonts w:ascii="Times New Roman" w:hAnsi="Times New Roman" w:cs="Times New Roman"/>
          <w:color w:val="auto"/>
        </w:rPr>
        <w:t>3.7 Weekday Versus Weekend Performance</w:t>
      </w:r>
      <w:bookmarkEnd w:id="26"/>
    </w:p>
    <w:p w14:paraId="0A996480"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Average Transfer Efficiency on weekdays was 0.689, compared to 0.700 on weekends — a difference of only 0.011 (1.6%), with weekend efficiency marginally higher rather than lower. This result runs counter to the common hypothesis that reduced weekend staffing slows CBP-to-HHS transfers; if anything, the data suggest the pipeline maintains operational consistency across the full week. Figure 4 breaks this comparison down further by individual day of week.</w:t>
      </w:r>
    </w:p>
    <w:p w14:paraId="39B13BE5"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lastRenderedPageBreak/>
        <w:drawing>
          <wp:inline distT="0" distB="0" distL="0" distR="0" wp14:anchorId="3F6BB5AC" wp14:editId="709A5BEE">
            <wp:extent cx="5301176" cy="2316480"/>
            <wp:effectExtent l="0" t="0" r="0" b="7620"/>
            <wp:docPr id="1439319943"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13884" cy="2322033"/>
                    </a:xfrm>
                    <a:prstGeom prst="rect">
                      <a:avLst/>
                    </a:prstGeom>
                  </pic:spPr>
                </pic:pic>
              </a:graphicData>
            </a:graphic>
          </wp:inline>
        </w:drawing>
      </w:r>
    </w:p>
    <w:p w14:paraId="5F539F46"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4. Average Transfer Efficiency by day of week.</w:t>
      </w:r>
    </w:p>
    <w:p w14:paraId="26122D87"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Thursday recorded the highest average efficiency (0.733) among weekdays, while Monday recorded the lowest (0.661). It is noted as a data quality observation that no Saturday-dated records appear in the dataset; this gap is discussed further in Section 5.2 (Limitations).</w:t>
      </w:r>
    </w:p>
    <w:p w14:paraId="22695981" w14:textId="77777777" w:rsidR="009D6C83" w:rsidRPr="007A2777" w:rsidRDefault="00830EFB">
      <w:pPr>
        <w:pStyle w:val="Heading2"/>
        <w:rPr>
          <w:rFonts w:ascii="Times New Roman" w:hAnsi="Times New Roman" w:cs="Times New Roman"/>
          <w:color w:val="auto"/>
        </w:rPr>
      </w:pPr>
      <w:bookmarkStart w:id="27" w:name="_Toc232714623"/>
      <w:r w:rsidRPr="007A2777">
        <w:rPr>
          <w:rFonts w:ascii="Times New Roman" w:hAnsi="Times New Roman" w:cs="Times New Roman"/>
          <w:color w:val="auto"/>
        </w:rPr>
        <w:t>3.8 Monthly and Seasonal Trends</w:t>
      </w:r>
      <w:bookmarkEnd w:id="27"/>
    </w:p>
    <w:p w14:paraId="3E9B6BF3"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Aggregating discharges by calendar month across all 36 months in the dataset reveals substantial month-over-month variation, with monthly discharge volume ranging from a low of 144 children (December 2025) to a peak of 7,658 children (October 2023), against an average of approximately 3,468 children discharged per month. Figure 5 shows the full monthly series.</w:t>
      </w:r>
    </w:p>
    <w:p w14:paraId="6B892B0E"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BFD0264" wp14:editId="04517E1D">
            <wp:extent cx="5667375" cy="2476500"/>
            <wp:effectExtent l="0" t="0" r="0" b="0"/>
            <wp:docPr id="286912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476500"/>
                    </a:xfrm>
                    <a:prstGeom prst="rect">
                      <a:avLst/>
                    </a:prstGeom>
                  </pic:spPr>
                </pic:pic>
              </a:graphicData>
            </a:graphic>
          </wp:inline>
        </w:drawing>
      </w:r>
    </w:p>
    <w:p w14:paraId="0845B9DE"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5. Monthly discharge volume, January 2023 – December 2025.</w:t>
      </w:r>
    </w:p>
    <w:p w14:paraId="75F81DD6"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pronounced decline in discharge volume across the final months of the observation window (mid-to-late 2025) is one of the most policy-relevant patterns in the dataset and is examined further in Section 4.</w:t>
      </w:r>
    </w:p>
    <w:p w14:paraId="4A9D90AE" w14:textId="77777777" w:rsidR="009D6C83" w:rsidRPr="007A2777" w:rsidRDefault="00830EFB">
      <w:pPr>
        <w:pStyle w:val="Heading2"/>
        <w:rPr>
          <w:rFonts w:ascii="Times New Roman" w:hAnsi="Times New Roman" w:cs="Times New Roman"/>
          <w:color w:val="auto"/>
        </w:rPr>
      </w:pPr>
      <w:bookmarkStart w:id="28" w:name="_Toc232714624"/>
      <w:r w:rsidRPr="007A2777">
        <w:rPr>
          <w:rFonts w:ascii="Times New Roman" w:hAnsi="Times New Roman" w:cs="Times New Roman"/>
          <w:color w:val="auto"/>
        </w:rPr>
        <w:lastRenderedPageBreak/>
        <w:t>3.9 Correlation Structure Among Pipeline Metrics</w:t>
      </w:r>
      <w:bookmarkEnd w:id="28"/>
    </w:p>
    <w:p w14:paraId="19C43975"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To understand how the core KPIs relate to one another, a correlation matrix was computed across Transfer Efficiency, Discharge Effectiveness, Transfer Backlog, Pipeline Throughput, HHS Care Load Ratio, and Stagnation Period (Figure 8).</w:t>
      </w:r>
    </w:p>
    <w:p w14:paraId="17DCF39B"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455FD276" wp14:editId="0819CDFD">
            <wp:extent cx="4752975" cy="4191000"/>
            <wp:effectExtent l="0" t="0" r="0" b="0"/>
            <wp:docPr id="346578137"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4191000"/>
                    </a:xfrm>
                    <a:prstGeom prst="rect">
                      <a:avLst/>
                    </a:prstGeom>
                  </pic:spPr>
                </pic:pic>
              </a:graphicData>
            </a:graphic>
          </wp:inline>
        </w:drawing>
      </w:r>
    </w:p>
    <w:p w14:paraId="127A3A55"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8. Correlation matrix of key pipeline metrics.</w:t>
      </w:r>
    </w:p>
    <w:p w14:paraId="4011FF9A" w14:textId="25AFB03B" w:rsidR="009D6C83" w:rsidRDefault="00830EFB" w:rsidP="007A2777">
      <w:pPr>
        <w:spacing w:after="160" w:line="360" w:lineRule="auto"/>
        <w:jc w:val="both"/>
        <w:rPr>
          <w:rFonts w:ascii="Times New Roman" w:hAnsi="Times New Roman" w:cs="Times New Roman"/>
        </w:rPr>
      </w:pPr>
      <w:r w:rsidRPr="00E15BEA">
        <w:rPr>
          <w:rFonts w:ascii="Times New Roman" w:hAnsi="Times New Roman" w:cs="Times New Roman"/>
        </w:rPr>
        <w:t>Three relationships stand out. First, Discharge Effectiveness and HHS Care Load Ratio show a near-perfect inverse correlation (r = –1.00), which follows directly from their shared denominator (HHS care population) and confirms the two metrics are mathematically complementary rather than independently informative. Second, Stagnation Period is strongly negatively correlated with both Transfer Efficiency (r = –0.66) and Discharge Effectiveness (r = –0.80), confirming that stagnation events are not isolated to one stage of the pipeline but reflect broader systemic slowdowns spanning both CBP transfer and HHS discharge. Third, Stagnation Period is strongly positively correlated with HHS Care Load Ratio (r = 0.81), reinforcing that stagnation coincides with a swollen, slow-clearing HHS care population.</w:t>
      </w:r>
    </w:p>
    <w:p w14:paraId="77932A89" w14:textId="77777777" w:rsidR="000D517E" w:rsidRPr="00E15BEA" w:rsidRDefault="000D517E" w:rsidP="007A2777">
      <w:pPr>
        <w:spacing w:after="160" w:line="360" w:lineRule="auto"/>
        <w:jc w:val="both"/>
        <w:rPr>
          <w:rFonts w:ascii="Times New Roman" w:hAnsi="Times New Roman" w:cs="Times New Roman"/>
        </w:rPr>
      </w:pPr>
    </w:p>
    <w:p w14:paraId="0D877A9C" w14:textId="77777777" w:rsidR="009D6C83" w:rsidRPr="007A2777" w:rsidRDefault="00830EFB">
      <w:pPr>
        <w:pStyle w:val="Heading1"/>
        <w:rPr>
          <w:rFonts w:ascii="Times New Roman" w:hAnsi="Times New Roman" w:cs="Times New Roman"/>
          <w:color w:val="auto"/>
        </w:rPr>
      </w:pPr>
      <w:bookmarkStart w:id="29" w:name="_Toc232714625"/>
      <w:r w:rsidRPr="007A2777">
        <w:rPr>
          <w:rFonts w:ascii="Times New Roman" w:hAnsi="Times New Roman" w:cs="Times New Roman"/>
          <w:color w:val="auto"/>
        </w:rPr>
        <w:lastRenderedPageBreak/>
        <w:t>4. Discussion</w:t>
      </w:r>
      <w:bookmarkEnd w:id="29"/>
    </w:p>
    <w:p w14:paraId="217766F9" w14:textId="77777777" w:rsidR="009D6C83" w:rsidRPr="007A2777" w:rsidRDefault="00830EFB">
      <w:pPr>
        <w:pStyle w:val="Heading2"/>
        <w:rPr>
          <w:rFonts w:ascii="Times New Roman" w:hAnsi="Times New Roman" w:cs="Times New Roman"/>
          <w:color w:val="auto"/>
        </w:rPr>
      </w:pPr>
      <w:bookmarkStart w:id="30" w:name="_Toc232714626"/>
      <w:r w:rsidRPr="007A2777">
        <w:rPr>
          <w:rFonts w:ascii="Times New Roman" w:hAnsi="Times New Roman" w:cs="Times New Roman"/>
          <w:color w:val="auto"/>
        </w:rPr>
        <w:t>4.1 Interpreting Backlog Concentration</w:t>
      </w:r>
      <w:bookmarkEnd w:id="30"/>
    </w:p>
    <w:p w14:paraId="00AF7C71" w14:textId="77777777" w:rsidR="00C766DB"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The concentration of the five most severe backlog days within a four-month window (February–May 2024) suggests that backlog accumulation in this system tends to behave as a sustained episode rather than a series of disconnected spikes. This has a direct operational implication: interventions designed around single-day anomaly detection are likely to under-respond to the kind of multi-week strain period that drives the most severe outcomes. </w:t>
      </w:r>
    </w:p>
    <w:p w14:paraId="7CB6300D" w14:textId="383FBFD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 monitoring approach that tracks rolling backlog trends — rather than only daily snapshots — is better suited to catching this pattern early, which is the rationale behind the rolling-metric and stability-band visualizations included in the accompanying dashboard.</w:t>
      </w:r>
    </w:p>
    <w:p w14:paraId="745E5B81" w14:textId="77777777" w:rsidR="009D6C83" w:rsidRPr="007A2777" w:rsidRDefault="00830EFB">
      <w:pPr>
        <w:pStyle w:val="Heading2"/>
        <w:rPr>
          <w:rFonts w:ascii="Times New Roman" w:hAnsi="Times New Roman" w:cs="Times New Roman"/>
          <w:color w:val="auto"/>
        </w:rPr>
      </w:pPr>
      <w:bookmarkStart w:id="31" w:name="_Toc232714627"/>
      <w:r w:rsidRPr="007A2777">
        <w:rPr>
          <w:rFonts w:ascii="Times New Roman" w:hAnsi="Times New Roman" w:cs="Times New Roman"/>
          <w:color w:val="auto"/>
        </w:rPr>
        <w:t>4.2 The Late-Period Discharge Decline</w:t>
      </w:r>
      <w:bookmarkEnd w:id="31"/>
    </w:p>
    <w:p w14:paraId="62E95C92"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The marked drop in monthly discharge volume toward the end of the observation period (2025) is the most consequential trend identified in this study from a policy standpoint. Because discharge volume is the system's primary humanitarian output — each discharge represents a child reunified with a sponsor — a sustained decline in this metric, even if accompanied by a correspondingly lower intake volume, warrants direct operational attention rather than being read as simply a function of lower overall system load. Disentangling whether this decline reflects reduced intake (a demand-side explanation) or reduced processing capacity (a supply-side explanation) is identified as a priority for the policy recommendations in Section 6.</w:t>
      </w:r>
    </w:p>
    <w:p w14:paraId="2D913EDB" w14:textId="77777777" w:rsidR="009D6C83" w:rsidRPr="007A2777" w:rsidRDefault="00830EFB">
      <w:pPr>
        <w:pStyle w:val="Heading2"/>
        <w:rPr>
          <w:rFonts w:ascii="Times New Roman" w:hAnsi="Times New Roman" w:cs="Times New Roman"/>
          <w:color w:val="auto"/>
        </w:rPr>
      </w:pPr>
      <w:bookmarkStart w:id="32" w:name="_Toc232714628"/>
      <w:r w:rsidRPr="007A2777">
        <w:rPr>
          <w:rFonts w:ascii="Times New Roman" w:hAnsi="Times New Roman" w:cs="Times New Roman"/>
          <w:color w:val="auto"/>
        </w:rPr>
        <w:t>4.3 Weekday/Weekend Parity as a Positive Operational Signal</w:t>
      </w:r>
      <w:bookmarkEnd w:id="32"/>
    </w:p>
    <w:p w14:paraId="55596495" w14:textId="77777777" w:rsidR="00C766DB"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 xml:space="preserve">The near-identical performance between weekdays and weekends (a 1.6% difference, with weekends marginally outperforming weekdays) is a notably positive finding. It suggests that, unlike many staffing-dependent administrative processes, the CBP-to-HHS transfer function does not suffer from a weekend staffing gap. </w:t>
      </w:r>
    </w:p>
    <w:p w14:paraId="38252E07" w14:textId="720F7070"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finding should inform resource allocation discussions: it indicates that further efficiency gains are unlikely to come primarily from weekend-specific staffing interventions, and that other factors — such as intake volume spikes, sponsor vetting delays, or shelter capacity constraints — are more probable drivers of the backlog and stagnation patterns identified elsewhere in this study.</w:t>
      </w:r>
    </w:p>
    <w:p w14:paraId="76FD65F2" w14:textId="77777777" w:rsidR="00C766DB" w:rsidRPr="007A2777" w:rsidRDefault="00C766DB">
      <w:pPr>
        <w:spacing w:after="160" w:line="360" w:lineRule="auto"/>
        <w:jc w:val="both"/>
        <w:rPr>
          <w:rFonts w:ascii="Times New Roman" w:hAnsi="Times New Roman" w:cs="Times New Roman"/>
          <w:color w:val="auto"/>
        </w:rPr>
      </w:pPr>
    </w:p>
    <w:p w14:paraId="05638D8D" w14:textId="77777777" w:rsidR="009D6C83" w:rsidRPr="007A2777" w:rsidRDefault="00830EFB">
      <w:pPr>
        <w:pStyle w:val="Heading2"/>
        <w:rPr>
          <w:rFonts w:ascii="Times New Roman" w:hAnsi="Times New Roman" w:cs="Times New Roman"/>
          <w:color w:val="auto"/>
        </w:rPr>
      </w:pPr>
      <w:bookmarkStart w:id="33" w:name="_Toc232714629"/>
      <w:r w:rsidRPr="007A2777">
        <w:rPr>
          <w:rFonts w:ascii="Times New Roman" w:hAnsi="Times New Roman" w:cs="Times New Roman"/>
          <w:color w:val="auto"/>
        </w:rPr>
        <w:lastRenderedPageBreak/>
        <w:t>4.4 Redundancy in Stability Metrics</w:t>
      </w:r>
      <w:bookmarkEnd w:id="33"/>
    </w:p>
    <w:p w14:paraId="573A06E1" w14:textId="77777777" w:rsidR="009D6C83" w:rsidRDefault="00830EFB">
      <w:pPr>
        <w:spacing w:after="160" w:line="360" w:lineRule="auto"/>
        <w:jc w:val="both"/>
        <w:rPr>
          <w:rFonts w:ascii="Times New Roman" w:hAnsi="Times New Roman" w:cs="Times New Roman"/>
          <w:sz w:val="25"/>
          <w:szCs w:val="25"/>
        </w:rPr>
      </w:pPr>
      <w:r w:rsidRPr="00E15BEA">
        <w:rPr>
          <w:rFonts w:ascii="Times New Roman" w:hAnsi="Times New Roman" w:cs="Times New Roman"/>
        </w:rPr>
        <w:t>The near-perfect inverse correlation between Discharge Effectiveness and HHS Care Load Ratio (r = –1.00) indicates these two metrics carry largely overlapping information by construction. For future iterations of this analytics framework, it may be more efficient to retain only one of these two metrics as a primary KPI and treat the other as a derived or supporting diagnostic, reducing redundancy in dashboard reporting without losing analytical coverage.</w:t>
      </w:r>
    </w:p>
    <w:p w14:paraId="2C26A9E8" w14:textId="77777777" w:rsidR="005F3E5B" w:rsidRDefault="0018681F" w:rsidP="005F3E5B">
      <w:pPr>
        <w:spacing w:after="160" w:line="276" w:lineRule="auto"/>
        <w:jc w:val="both"/>
        <w:rPr>
          <w:rFonts w:ascii="Times New Roman" w:hAnsi="Times New Roman" w:cs="Times New Roman"/>
          <w:b/>
          <w:bCs/>
        </w:rPr>
      </w:pPr>
      <w:r w:rsidRPr="0018681F">
        <w:rPr>
          <w:rFonts w:ascii="Times New Roman" w:hAnsi="Times New Roman" w:cs="Times New Roman"/>
          <w:b/>
          <w:bCs/>
          <w:sz w:val="25"/>
          <w:szCs w:val="25"/>
        </w:rPr>
        <w:t>4.</w:t>
      </w:r>
      <w:r w:rsidR="003807D9">
        <w:rPr>
          <w:rFonts w:ascii="Times New Roman" w:hAnsi="Times New Roman" w:cs="Times New Roman"/>
          <w:b/>
          <w:bCs/>
          <w:sz w:val="25"/>
          <w:szCs w:val="25"/>
        </w:rPr>
        <w:t>5</w:t>
      </w:r>
      <w:r w:rsidRPr="0018681F">
        <w:rPr>
          <w:rFonts w:ascii="Times New Roman" w:hAnsi="Times New Roman" w:cs="Times New Roman"/>
          <w:b/>
          <w:bCs/>
          <w:sz w:val="25"/>
          <w:szCs w:val="25"/>
        </w:rPr>
        <w:t xml:space="preserve"> Year-over-Year Performance Evaluatio</w:t>
      </w:r>
      <w:r w:rsidR="0048709E">
        <w:rPr>
          <w:rFonts w:ascii="Times New Roman" w:hAnsi="Times New Roman" w:cs="Times New Roman"/>
          <w:b/>
          <w:bCs/>
          <w:sz w:val="25"/>
          <w:szCs w:val="25"/>
        </w:rPr>
        <w:t>n</w:t>
      </w:r>
      <w:r w:rsidR="0048709E" w:rsidRPr="005F3E5B">
        <w:rPr>
          <w:rFonts w:ascii="Times New Roman" w:hAnsi="Times New Roman" w:cs="Times New Roman"/>
          <w:b/>
          <w:bCs/>
        </w:rPr>
        <w:t xml:space="preserve"> </w:t>
      </w:r>
    </w:p>
    <w:p w14:paraId="1E91C147" w14:textId="699FA26A" w:rsidR="0018681F" w:rsidRPr="005F3E5B" w:rsidRDefault="0018681F" w:rsidP="0018681F">
      <w:pPr>
        <w:spacing w:after="160" w:line="360" w:lineRule="auto"/>
        <w:jc w:val="both"/>
        <w:rPr>
          <w:rFonts w:ascii="Times New Roman" w:hAnsi="Times New Roman" w:cs="Times New Roman"/>
          <w:b/>
          <w:bCs/>
        </w:rPr>
      </w:pPr>
      <w:r w:rsidRPr="0018681F">
        <w:rPr>
          <w:rFonts w:ascii="Times New Roman" w:hAnsi="Times New Roman" w:cs="Times New Roman"/>
        </w:rPr>
        <w:t>A year-over-year comparison of operational metrics revealed a gradual deterioration in overall pipeline performance between 2023 and 2025. Transfer Efficiency declined from 0.83 in 2023 to 0.46 in 2025, while Discharge Effectiveness decreased from 0.033 to 0.009 during the same period. Warning Days increased substantially from 7 in 2023 to 156 in 2025, and Stagnation Days rose from zero to 155 days.</w:t>
      </w:r>
    </w:p>
    <w:p w14:paraId="58B08799" w14:textId="77777777" w:rsidR="0018681F" w:rsidRPr="0018681F" w:rsidRDefault="0018681F" w:rsidP="0018681F">
      <w:pPr>
        <w:spacing w:after="160" w:line="360" w:lineRule="auto"/>
        <w:jc w:val="both"/>
        <w:rPr>
          <w:rFonts w:ascii="Times New Roman" w:hAnsi="Times New Roman" w:cs="Times New Roman"/>
        </w:rPr>
      </w:pPr>
      <w:r w:rsidRPr="0018681F">
        <w:rPr>
          <w:rFonts w:ascii="Times New Roman" w:hAnsi="Times New Roman" w:cs="Times New Roman"/>
        </w:rPr>
        <w:t>These findings suggest that operational strain became increasingly concentrated toward the later stages of the observation period. While backlog levels improved in 2025 relative to 2024, the simultaneous decline in transfer and discharge performance indicates that reduced throughput may have contributed to lower system activity rather than improved efficiency. The year-over-year analysis therefore provides an important long-term perspective that complements the daily and monthly analyses presented throughout this study.</w:t>
      </w:r>
    </w:p>
    <w:p w14:paraId="7977D0B0" w14:textId="356B33C9" w:rsidR="0018681F" w:rsidRDefault="00B65D0F">
      <w:pPr>
        <w:spacing w:after="160" w:line="360" w:lineRule="auto"/>
        <w:jc w:val="both"/>
        <w:rPr>
          <w:rFonts w:ascii="Times New Roman" w:hAnsi="Times New Roman" w:cs="Times New Roman"/>
          <w:sz w:val="25"/>
          <w:szCs w:val="25"/>
        </w:rPr>
      </w:pPr>
      <w:r w:rsidRPr="00B65D0F">
        <w:rPr>
          <w:rFonts w:ascii="Times New Roman" w:hAnsi="Times New Roman" w:cs="Times New Roman"/>
          <w:noProof/>
          <w:sz w:val="25"/>
          <w:szCs w:val="25"/>
        </w:rPr>
        <w:drawing>
          <wp:inline distT="0" distB="0" distL="0" distR="0" wp14:anchorId="6CAE761E" wp14:editId="0EAE53BC">
            <wp:extent cx="5943600" cy="2091055"/>
            <wp:effectExtent l="0" t="0" r="0" b="4445"/>
            <wp:docPr id="6064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21230" name=""/>
                    <pic:cNvPicPr/>
                  </pic:nvPicPr>
                  <pic:blipFill>
                    <a:blip r:embed="rId18"/>
                    <a:stretch>
                      <a:fillRect/>
                    </a:stretch>
                  </pic:blipFill>
                  <pic:spPr>
                    <a:xfrm>
                      <a:off x="0" y="0"/>
                      <a:ext cx="5943600" cy="2091055"/>
                    </a:xfrm>
                    <a:prstGeom prst="rect">
                      <a:avLst/>
                    </a:prstGeom>
                  </pic:spPr>
                </pic:pic>
              </a:graphicData>
            </a:graphic>
          </wp:inline>
        </w:drawing>
      </w:r>
    </w:p>
    <w:p w14:paraId="306095D2" w14:textId="46C7A7B3" w:rsidR="00B65D0F" w:rsidRPr="00B65D0F" w:rsidRDefault="00B65D0F" w:rsidP="00B65D0F">
      <w:pPr>
        <w:spacing w:after="160" w:line="360" w:lineRule="auto"/>
        <w:jc w:val="center"/>
        <w:rPr>
          <w:rFonts w:ascii="Times New Roman" w:hAnsi="Times New Roman" w:cs="Times New Roman"/>
          <w:i/>
          <w:iCs/>
          <w:color w:val="595959" w:themeColor="text1" w:themeTint="A6"/>
          <w:sz w:val="18"/>
          <w:szCs w:val="18"/>
        </w:rPr>
      </w:pPr>
      <w:r w:rsidRPr="00B65D0F">
        <w:rPr>
          <w:rFonts w:ascii="Times New Roman" w:hAnsi="Times New Roman" w:cs="Times New Roman"/>
          <w:i/>
          <w:iCs/>
          <w:color w:val="595959" w:themeColor="text1" w:themeTint="A6"/>
          <w:sz w:val="18"/>
          <w:szCs w:val="18"/>
        </w:rPr>
        <w:t xml:space="preserve">Fig </w:t>
      </w:r>
      <w:r>
        <w:rPr>
          <w:rFonts w:ascii="Times New Roman" w:hAnsi="Times New Roman" w:cs="Times New Roman"/>
          <w:i/>
          <w:iCs/>
          <w:color w:val="595959" w:themeColor="text1" w:themeTint="A6"/>
          <w:sz w:val="18"/>
          <w:szCs w:val="18"/>
        </w:rPr>
        <w:t>9.</w:t>
      </w:r>
      <w:r w:rsidRPr="00B65D0F">
        <w:rPr>
          <w:rFonts w:ascii="Times New Roman" w:hAnsi="Times New Roman" w:cs="Times New Roman"/>
          <w:i/>
          <w:iCs/>
          <w:color w:val="595959" w:themeColor="text1" w:themeTint="A6"/>
          <w:sz w:val="18"/>
          <w:szCs w:val="18"/>
        </w:rPr>
        <w:t xml:space="preserve"> Year-over-Year KPI Comparison Dashboard showing annual performance trends across key operational indicators from 2023 to 2025.</w:t>
      </w:r>
    </w:p>
    <w:p w14:paraId="6826C977" w14:textId="7B358C49" w:rsidR="009D6C83" w:rsidRPr="00E15BEA" w:rsidRDefault="00B65D0F">
      <w:pPr>
        <w:rPr>
          <w:rFonts w:ascii="Times New Roman" w:hAnsi="Times New Roman" w:cs="Times New Roman"/>
        </w:rPr>
      </w:pPr>
      <w:r w:rsidRPr="00B65D0F">
        <w:rPr>
          <w:rFonts w:ascii="Times New Roman" w:hAnsi="Times New Roman" w:cs="Times New Roman"/>
        </w:rPr>
        <w:t xml:space="preserve">Figure </w:t>
      </w:r>
      <w:r w:rsidR="00A4790E">
        <w:rPr>
          <w:rFonts w:ascii="Times New Roman" w:hAnsi="Times New Roman" w:cs="Times New Roman"/>
        </w:rPr>
        <w:t>9.</w:t>
      </w:r>
      <w:r w:rsidRPr="00B65D0F">
        <w:rPr>
          <w:rFonts w:ascii="Times New Roman" w:hAnsi="Times New Roman" w:cs="Times New Roman"/>
        </w:rPr>
        <w:t xml:space="preserve"> illustrates annual changes in Transfer Efficiency,</w:t>
      </w:r>
      <w:r>
        <w:rPr>
          <w:rFonts w:ascii="Times New Roman" w:hAnsi="Times New Roman" w:cs="Times New Roman"/>
        </w:rPr>
        <w:t xml:space="preserve"> </w:t>
      </w:r>
      <w:r w:rsidRPr="00B65D0F">
        <w:rPr>
          <w:rFonts w:ascii="Times New Roman" w:hAnsi="Times New Roman" w:cs="Times New Roman"/>
        </w:rPr>
        <w:t>Discharge Effectiveness, Warning Days,</w:t>
      </w:r>
      <w:r>
        <w:rPr>
          <w:rFonts w:ascii="Times New Roman" w:hAnsi="Times New Roman" w:cs="Times New Roman"/>
        </w:rPr>
        <w:t xml:space="preserve"> </w:t>
      </w:r>
      <w:r w:rsidRPr="00B65D0F">
        <w:rPr>
          <w:rFonts w:ascii="Times New Roman" w:hAnsi="Times New Roman" w:cs="Times New Roman"/>
        </w:rPr>
        <w:t>Stagnation Days,</w:t>
      </w:r>
      <w:r>
        <w:rPr>
          <w:rFonts w:ascii="Times New Roman" w:hAnsi="Times New Roman" w:cs="Times New Roman"/>
        </w:rPr>
        <w:t xml:space="preserve"> </w:t>
      </w:r>
      <w:r w:rsidRPr="00B65D0F">
        <w:rPr>
          <w:rFonts w:ascii="Times New Roman" w:hAnsi="Times New Roman" w:cs="Times New Roman"/>
        </w:rPr>
        <w:t>Backlog, Pipeline Throughput, HHS Population, and Total</w:t>
      </w:r>
      <w:r>
        <w:rPr>
          <w:rFonts w:ascii="Times New Roman" w:hAnsi="Times New Roman" w:cs="Times New Roman"/>
        </w:rPr>
        <w:t xml:space="preserve"> </w:t>
      </w:r>
      <w:r w:rsidRPr="00B65D0F">
        <w:rPr>
          <w:rFonts w:ascii="Times New Roman" w:hAnsi="Times New Roman" w:cs="Times New Roman"/>
        </w:rPr>
        <w:t>Discharges across the study</w:t>
      </w:r>
      <w:r>
        <w:rPr>
          <w:rFonts w:ascii="Times New Roman" w:hAnsi="Times New Roman" w:cs="Times New Roman"/>
        </w:rPr>
        <w:t xml:space="preserve"> </w:t>
      </w:r>
      <w:r w:rsidRPr="00B65D0F">
        <w:rPr>
          <w:rFonts w:ascii="Times New Roman" w:hAnsi="Times New Roman" w:cs="Times New Roman"/>
        </w:rPr>
        <w:t>period.</w:t>
      </w:r>
      <w:r w:rsidR="00830EFB" w:rsidRPr="00E15BEA">
        <w:rPr>
          <w:rFonts w:ascii="Times New Roman" w:hAnsi="Times New Roman" w:cs="Times New Roman"/>
        </w:rPr>
        <w:br w:type="page"/>
      </w:r>
    </w:p>
    <w:p w14:paraId="330BD15E" w14:textId="77777777" w:rsidR="009D6C83" w:rsidRPr="007A2777" w:rsidRDefault="00830EFB">
      <w:pPr>
        <w:pStyle w:val="Heading1"/>
        <w:rPr>
          <w:rFonts w:ascii="Times New Roman" w:hAnsi="Times New Roman" w:cs="Times New Roman"/>
          <w:color w:val="auto"/>
        </w:rPr>
      </w:pPr>
      <w:bookmarkStart w:id="34" w:name="_Toc232714630"/>
      <w:r w:rsidRPr="007A2777">
        <w:rPr>
          <w:rFonts w:ascii="Times New Roman" w:hAnsi="Times New Roman" w:cs="Times New Roman"/>
          <w:color w:val="auto"/>
        </w:rPr>
        <w:lastRenderedPageBreak/>
        <w:t>5. Limitations</w:t>
      </w:r>
      <w:bookmarkEnd w:id="34"/>
    </w:p>
    <w:p w14:paraId="676BD5A4" w14:textId="77777777" w:rsidR="009D6C83" w:rsidRPr="007A2777" w:rsidRDefault="00830EFB">
      <w:pPr>
        <w:pStyle w:val="Heading2"/>
        <w:rPr>
          <w:rFonts w:ascii="Times New Roman" w:hAnsi="Times New Roman" w:cs="Times New Roman"/>
          <w:color w:val="auto"/>
        </w:rPr>
      </w:pPr>
      <w:bookmarkStart w:id="35" w:name="_Toc232714631"/>
      <w:r w:rsidRPr="007A2777">
        <w:rPr>
          <w:rFonts w:ascii="Times New Roman" w:hAnsi="Times New Roman" w:cs="Times New Roman"/>
          <w:color w:val="auto"/>
        </w:rPr>
        <w:t>5.1 Data Granularity and Scope</w:t>
      </w:r>
      <w:bookmarkEnd w:id="35"/>
    </w:p>
    <w:p w14:paraId="2EEFF442"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analysis is constrained to the six core daily fields provided in the cleaned dataset. It does not incorporate facility-level, regional, or individual-level data, which limits the ability to localize where in the geographic or organizational structure specific bottlenecks originate. Sponsor-side factors — such as vetting processing time or sponsor availability — are not separately observable in this dataset and can only be inferred indirectly through discharge effectiveness trends.</w:t>
      </w:r>
    </w:p>
    <w:p w14:paraId="467A4F3C" w14:textId="77777777" w:rsidR="009D6C83" w:rsidRPr="007A2777" w:rsidRDefault="00830EFB">
      <w:pPr>
        <w:pStyle w:val="Heading2"/>
        <w:rPr>
          <w:rFonts w:ascii="Times New Roman" w:hAnsi="Times New Roman" w:cs="Times New Roman"/>
          <w:color w:val="auto"/>
        </w:rPr>
      </w:pPr>
      <w:bookmarkStart w:id="36" w:name="_Toc232714632"/>
      <w:r w:rsidRPr="007A2777">
        <w:rPr>
          <w:rFonts w:ascii="Times New Roman" w:hAnsi="Times New Roman" w:cs="Times New Roman"/>
          <w:color w:val="auto"/>
        </w:rPr>
        <w:t>5.2 Data Quality Observation: Missing Saturday Records</w:t>
      </w:r>
      <w:bookmarkEnd w:id="36"/>
    </w:p>
    <w:p w14:paraId="5D3E80AB"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During temporal analysis, it was observed that the dataset contains zero records with a Saturday day-of-week designation across the entire 720-day period. Given that the date range spans approximately three full years, this is highly unlikely to occur by chance and instead points to either a systematic reporting gap or a date-generation artifact upstream of the cleaned dataset. This finding does not invalidate the weekday/weekend comparison presented in Section 3.7, since Saturdays are still represented within the broader weekend grouping derived from day-of-week classification logic; however, it does mean that the day-of-week breakdown in Figure 4 should be read as six observed day-types rather than a complete seven-day week, and it is recommended that this be investigated and corrected in any future data collection cycle.</w:t>
      </w:r>
    </w:p>
    <w:p w14:paraId="41DB1216" w14:textId="77777777" w:rsidR="009D6C83" w:rsidRPr="007A2777" w:rsidRDefault="00830EFB">
      <w:pPr>
        <w:pStyle w:val="Heading2"/>
        <w:rPr>
          <w:rFonts w:ascii="Times New Roman" w:hAnsi="Times New Roman" w:cs="Times New Roman"/>
          <w:color w:val="auto"/>
        </w:rPr>
      </w:pPr>
      <w:bookmarkStart w:id="37" w:name="_Toc232714633"/>
      <w:r w:rsidRPr="007A2777">
        <w:rPr>
          <w:rFonts w:ascii="Times New Roman" w:hAnsi="Times New Roman" w:cs="Times New Roman"/>
          <w:color w:val="auto"/>
        </w:rPr>
        <w:t>5.3 Negative Backlog Values</w:t>
      </w:r>
      <w:bookmarkEnd w:id="37"/>
    </w:p>
    <w:p w14:paraId="0C51BA66"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86 of 720 days (12.0%) recorded a negative Transfer Backlog value, with a minimum observed value of –73. While negative backlog is methodologically valid — representing days where exits exceeded entries — it does indicate that the backlog metric, as currently constructed, measures net daily flow imbalance rather than a strictly cumulative, non-negative queue length. Readers and future analysts should interpret backlog magnitude in this relative, flow-based sense rather than as an absolute count of children physically waiting in queue at any given moment.</w:t>
      </w:r>
    </w:p>
    <w:p w14:paraId="36689DD1" w14:textId="77777777" w:rsidR="009D6C83" w:rsidRPr="007A2777" w:rsidRDefault="00830EFB">
      <w:pPr>
        <w:pStyle w:val="Heading2"/>
        <w:rPr>
          <w:rFonts w:ascii="Times New Roman" w:hAnsi="Times New Roman" w:cs="Times New Roman"/>
          <w:color w:val="auto"/>
        </w:rPr>
      </w:pPr>
      <w:bookmarkStart w:id="38" w:name="_Toc232714634"/>
      <w:r w:rsidRPr="007A2777">
        <w:rPr>
          <w:rFonts w:ascii="Times New Roman" w:hAnsi="Times New Roman" w:cs="Times New Roman"/>
          <w:color w:val="auto"/>
        </w:rPr>
        <w:t>5.4 Outlier Sensitivity in Ratio Metrics</w:t>
      </w:r>
      <w:bookmarkEnd w:id="38"/>
    </w:p>
    <w:p w14:paraId="667B2EB2" w14:textId="77777777"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Several ratio-based metrics, including Pipeline Throughput (maximum observed value of 16.0) and Transfer-to-Discharge Ratio (maximum observed value of 22.0), are highly sensitive to days with very low denominators, producing extreme outlier values that can distort simple mean-based summaries. All visualizations of these metrics in the accompanying dashboard and in this paper account for this by either capping the displayed range at a high percentile or by reporting the median alongside the mean.</w:t>
      </w:r>
    </w:p>
    <w:p w14:paraId="0A8D04BB" w14:textId="77777777" w:rsidR="00C766DB" w:rsidRPr="007A2777" w:rsidRDefault="00C766DB">
      <w:pPr>
        <w:spacing w:after="160" w:line="360" w:lineRule="auto"/>
        <w:jc w:val="both"/>
        <w:rPr>
          <w:rFonts w:ascii="Times New Roman" w:hAnsi="Times New Roman" w:cs="Times New Roman"/>
          <w:color w:val="auto"/>
        </w:rPr>
      </w:pPr>
    </w:p>
    <w:p w14:paraId="1EBB3F5A" w14:textId="77777777" w:rsidR="009D6C83" w:rsidRPr="007A2777" w:rsidRDefault="00830EFB">
      <w:pPr>
        <w:pStyle w:val="Heading2"/>
        <w:rPr>
          <w:rFonts w:ascii="Times New Roman" w:hAnsi="Times New Roman" w:cs="Times New Roman"/>
          <w:color w:val="auto"/>
        </w:rPr>
      </w:pPr>
      <w:bookmarkStart w:id="39" w:name="_Toc232714635"/>
      <w:r w:rsidRPr="007A2777">
        <w:rPr>
          <w:rFonts w:ascii="Times New Roman" w:hAnsi="Times New Roman" w:cs="Times New Roman"/>
          <w:color w:val="auto"/>
        </w:rPr>
        <w:lastRenderedPageBreak/>
        <w:t>5.5 Correlational, Not Causal, Findings</w:t>
      </w:r>
      <w:bookmarkEnd w:id="39"/>
    </w:p>
    <w:p w14:paraId="107A2DA0"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All relationships reported in Section 3.9 and discussed in Section 4 are correlational. This study does not employ a causal inference framework (e.g., difference-in-differences, instrumental variables, or controlled experimentation), and as such, findings such as the stagnation-to-discharge-effectiveness relationship should be interpreted as strong co-occurrence patterns warranting further investigation rather than established causal mechanisms.</w:t>
      </w:r>
    </w:p>
    <w:p w14:paraId="3A350301" w14:textId="77777777" w:rsidR="009D6C83" w:rsidRPr="007A2777" w:rsidRDefault="00830EFB">
      <w:pPr>
        <w:rPr>
          <w:rFonts w:ascii="Times New Roman" w:hAnsi="Times New Roman" w:cs="Times New Roman"/>
          <w:color w:val="auto"/>
        </w:rPr>
      </w:pPr>
      <w:r w:rsidRPr="007A2777">
        <w:rPr>
          <w:rFonts w:ascii="Times New Roman" w:hAnsi="Times New Roman" w:cs="Times New Roman"/>
          <w:color w:val="auto"/>
        </w:rPr>
        <w:br w:type="page"/>
      </w:r>
    </w:p>
    <w:p w14:paraId="1EC119D4" w14:textId="77777777" w:rsidR="009D6C83" w:rsidRPr="00F85319" w:rsidRDefault="00830EFB">
      <w:pPr>
        <w:pStyle w:val="Heading1"/>
        <w:rPr>
          <w:rFonts w:ascii="Times New Roman" w:hAnsi="Times New Roman" w:cs="Times New Roman"/>
          <w:color w:val="auto"/>
        </w:rPr>
      </w:pPr>
      <w:bookmarkStart w:id="40" w:name="_Toc232714636"/>
      <w:r w:rsidRPr="00F85319">
        <w:rPr>
          <w:rFonts w:ascii="Times New Roman" w:hAnsi="Times New Roman" w:cs="Times New Roman"/>
          <w:color w:val="auto"/>
        </w:rPr>
        <w:lastRenderedPageBreak/>
        <w:t xml:space="preserve">6. </w:t>
      </w:r>
      <w:proofErr w:type="spellStart"/>
      <w:r w:rsidRPr="00F85319">
        <w:rPr>
          <w:rFonts w:ascii="Times New Roman" w:hAnsi="Times New Roman" w:cs="Times New Roman"/>
          <w:color w:val="auto"/>
        </w:rPr>
        <w:t>Streamlit</w:t>
      </w:r>
      <w:proofErr w:type="spellEnd"/>
      <w:r w:rsidRPr="00F85319">
        <w:rPr>
          <w:rFonts w:ascii="Times New Roman" w:hAnsi="Times New Roman" w:cs="Times New Roman"/>
          <w:color w:val="auto"/>
        </w:rPr>
        <w:t xml:space="preserve"> Analytics Dashboard</w:t>
      </w:r>
      <w:bookmarkEnd w:id="40"/>
    </w:p>
    <w:p w14:paraId="71089309" w14:textId="3A124622" w:rsidR="009D6C83" w:rsidRPr="00F85319" w:rsidRDefault="00830EFB">
      <w:pPr>
        <w:spacing w:after="160" w:line="360" w:lineRule="auto"/>
        <w:jc w:val="both"/>
        <w:rPr>
          <w:rFonts w:ascii="Times New Roman" w:hAnsi="Times New Roman" w:cs="Times New Roman"/>
          <w:color w:val="auto"/>
        </w:rPr>
      </w:pPr>
      <w:r w:rsidRPr="00F85319">
        <w:rPr>
          <w:rFonts w:ascii="Times New Roman" w:hAnsi="Times New Roman" w:cs="Times New Roman"/>
          <w:color w:val="auto"/>
        </w:rPr>
        <w:t xml:space="preserve">To translate the findings of this study into an operational monitoring tool, an interactive </w:t>
      </w:r>
      <w:r w:rsidR="00814A3B">
        <w:rPr>
          <w:rFonts w:ascii="Times New Roman" w:hAnsi="Times New Roman" w:cs="Times New Roman"/>
          <w:color w:val="auto"/>
        </w:rPr>
        <w:t>ten</w:t>
      </w:r>
      <w:r w:rsidRPr="00F85319">
        <w:rPr>
          <w:rFonts w:ascii="Times New Roman" w:hAnsi="Times New Roman" w:cs="Times New Roman"/>
          <w:color w:val="auto"/>
        </w:rPr>
        <w:t xml:space="preserve">-page </w:t>
      </w:r>
      <w:proofErr w:type="spellStart"/>
      <w:r w:rsidRPr="00F85319">
        <w:rPr>
          <w:rFonts w:ascii="Times New Roman" w:hAnsi="Times New Roman" w:cs="Times New Roman"/>
          <w:color w:val="auto"/>
        </w:rPr>
        <w:t>Streamlit</w:t>
      </w:r>
      <w:proofErr w:type="spellEnd"/>
      <w:r w:rsidRPr="00F85319">
        <w:rPr>
          <w:rFonts w:ascii="Times New Roman" w:hAnsi="Times New Roman" w:cs="Times New Roman"/>
          <w:color w:val="auto"/>
        </w:rPr>
        <w:t xml:space="preserve"> web application was developed alongside this paper. The dashboard recomputes all KPIs live in response to a user-selected date range and is intended for use by case management staff, program administrators, and policy analysts.</w:t>
      </w:r>
    </w:p>
    <w:p w14:paraId="70FDA2DF" w14:textId="77777777" w:rsidR="009D6C83" w:rsidRPr="00F85319" w:rsidRDefault="00830EFB">
      <w:pPr>
        <w:pStyle w:val="Heading2"/>
        <w:rPr>
          <w:rFonts w:ascii="Times New Roman" w:hAnsi="Times New Roman" w:cs="Times New Roman"/>
          <w:color w:val="auto"/>
        </w:rPr>
      </w:pPr>
      <w:bookmarkStart w:id="41" w:name="_Toc232714637"/>
      <w:r w:rsidRPr="00F85319">
        <w:rPr>
          <w:rFonts w:ascii="Times New Roman" w:hAnsi="Times New Roman" w:cs="Times New Roman"/>
          <w:color w:val="auto"/>
        </w:rPr>
        <w:t>6.1 Core Modules</w:t>
      </w:r>
      <w:bookmarkEnd w:id="41"/>
    </w:p>
    <w:p w14:paraId="4D5E46B6"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Care Pipeline Flow Visualization — a Sankey diagram and stage-by-stage flow summary of the CBP → HHS → sponsor placement pipeline.</w:t>
      </w:r>
    </w:p>
    <w:p w14:paraId="34CB9E24"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Transfer and Discharge Efficiency Panels — dedicated pages for Transfer Efficiency and Discharge Effectiveness, including trend lines, monthly breakdowns, distribution histograms, and the Transfer-to-Discharge Ratio.</w:t>
      </w:r>
    </w:p>
    <w:p w14:paraId="027EA5BF"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Bottleneck Detection Charts — backlog trend visualization and a ranked table of the highest-backlog periods.</w:t>
      </w:r>
    </w:p>
    <w:p w14:paraId="4FA93B9F" w14:textId="77777777" w:rsidR="009D6C83"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Outcome Trend Analysis — rolling discharge effectiveness with a stability band, and a dedicated stagnation detection page with alert-zone shading.</w:t>
      </w:r>
    </w:p>
    <w:p w14:paraId="732001FF" w14:textId="28D19333" w:rsidR="00CC400B" w:rsidRDefault="00266EC6">
      <w:pPr>
        <w:pStyle w:val="ListParagraph"/>
        <w:numPr>
          <w:ilvl w:val="0"/>
          <w:numId w:val="2"/>
        </w:numPr>
        <w:spacing w:after="80" w:line="340" w:lineRule="auto"/>
        <w:rPr>
          <w:rFonts w:ascii="Times New Roman" w:hAnsi="Times New Roman" w:cs="Times New Roman"/>
          <w:color w:val="auto"/>
        </w:rPr>
      </w:pPr>
      <w:r w:rsidRPr="00266EC6">
        <w:rPr>
          <w:rFonts w:ascii="Times New Roman" w:hAnsi="Times New Roman" w:cs="Times New Roman"/>
          <w:color w:val="auto"/>
        </w:rPr>
        <w:t>Year-over-Year Performance Analysis — compares annual trends in key operational metrics to identify performance changes, emerging risks, and long-term pipeline efficiency patterns.</w:t>
      </w:r>
    </w:p>
    <w:p w14:paraId="2A611530" w14:textId="77777777" w:rsidR="009D6C83" w:rsidRPr="00F85319" w:rsidRDefault="00830EFB">
      <w:pPr>
        <w:pStyle w:val="Heading2"/>
        <w:rPr>
          <w:rFonts w:ascii="Times New Roman" w:hAnsi="Times New Roman" w:cs="Times New Roman"/>
          <w:color w:val="auto"/>
        </w:rPr>
      </w:pPr>
      <w:bookmarkStart w:id="42" w:name="_Toc232714638"/>
      <w:r w:rsidRPr="00F85319">
        <w:rPr>
          <w:rFonts w:ascii="Times New Roman" w:hAnsi="Times New Roman" w:cs="Times New Roman"/>
          <w:color w:val="auto"/>
        </w:rPr>
        <w:t>6.2 User Capabilities</w:t>
      </w:r>
      <w:bookmarkEnd w:id="42"/>
    </w:p>
    <w:p w14:paraId="6976956C"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Date range selection, applied globally across the executive summary and trend panels.</w:t>
      </w:r>
    </w:p>
    <w:p w14:paraId="054F38EA"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Visual threshold-based alerts, including a Normal/Warning donut chart breakdown and dynamic warning-day callouts.</w:t>
      </w:r>
    </w:p>
    <w:p w14:paraId="2B546E5D" w14:textId="18506926" w:rsidR="00F85319" w:rsidRPr="00682A8E" w:rsidRDefault="00830EFB" w:rsidP="00F85319">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Dataset preview and full CSV export for downstream analysis.</w:t>
      </w:r>
    </w:p>
    <w:p w14:paraId="00AF8326" w14:textId="77777777" w:rsidR="009D6C83" w:rsidRPr="00F85319" w:rsidRDefault="00830EFB">
      <w:pPr>
        <w:pStyle w:val="Heading2"/>
        <w:rPr>
          <w:rFonts w:ascii="Times New Roman" w:hAnsi="Times New Roman" w:cs="Times New Roman"/>
          <w:color w:val="auto"/>
        </w:rPr>
      </w:pPr>
      <w:bookmarkStart w:id="43" w:name="_Toc232714639"/>
      <w:r w:rsidRPr="00F85319">
        <w:rPr>
          <w:rFonts w:ascii="Times New Roman" w:hAnsi="Times New Roman" w:cs="Times New Roman"/>
          <w:color w:val="auto"/>
        </w:rPr>
        <w:t>6.3 Page Structure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6C83" w:rsidRPr="00E15BEA" w14:paraId="558DA788" w14:textId="77777777" w:rsidTr="007A2777">
        <w:trPr>
          <w:tblHeader/>
        </w:trPr>
        <w:tc>
          <w:tcPr>
            <w:tcW w:w="3200" w:type="dxa"/>
            <w:tcBorders>
              <w:top w:val="single" w:sz="4" w:space="0" w:color="auto"/>
              <w:left w:val="single" w:sz="4" w:space="0" w:color="auto"/>
              <w:bottom w:val="single" w:sz="4" w:space="0" w:color="auto"/>
              <w:right w:val="single" w:sz="4" w:space="0" w:color="auto"/>
            </w:tcBorders>
            <w:shd w:val="clear" w:color="auto" w:fill="0B3C5D"/>
            <w:tcMar>
              <w:top w:w="80" w:type="dxa"/>
              <w:left w:w="120" w:type="dxa"/>
              <w:bottom w:w="80" w:type="dxa"/>
              <w:right w:w="120" w:type="dxa"/>
            </w:tcMar>
            <w:vAlign w:val="center"/>
          </w:tcPr>
          <w:p w14:paraId="6846EE1E"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Page</w:t>
            </w:r>
          </w:p>
        </w:tc>
        <w:tc>
          <w:tcPr>
            <w:tcW w:w="6160" w:type="dxa"/>
            <w:tcBorders>
              <w:top w:val="single" w:sz="4" w:space="0" w:color="auto"/>
              <w:left w:val="single" w:sz="4" w:space="0" w:color="auto"/>
              <w:bottom w:val="single" w:sz="4" w:space="0" w:color="auto"/>
              <w:right w:val="single" w:sz="4" w:space="0" w:color="auto"/>
            </w:tcBorders>
            <w:shd w:val="clear" w:color="auto" w:fill="0B3C5D"/>
            <w:tcMar>
              <w:top w:w="80" w:type="dxa"/>
              <w:left w:w="120" w:type="dxa"/>
              <w:bottom w:w="80" w:type="dxa"/>
              <w:right w:w="120" w:type="dxa"/>
            </w:tcMar>
            <w:vAlign w:val="center"/>
          </w:tcPr>
          <w:p w14:paraId="0429E047"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Primary Purpose</w:t>
            </w:r>
          </w:p>
        </w:tc>
      </w:tr>
      <w:tr w:rsidR="009D6C83" w:rsidRPr="00E15BEA" w14:paraId="4E64ED5E"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60FEE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Executive Summary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1F860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High-level KPI overview, objectives, findings, and recommendations for stakeholders</w:t>
            </w:r>
          </w:p>
        </w:tc>
      </w:tr>
      <w:tr w:rsidR="009D6C83" w:rsidRPr="00E15BEA" w14:paraId="67655D8C"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F3058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Care Pipeline Overview</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28698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Stage-by-stage flow visualization, Sankey diagram, and throughput/load ratio analysis</w:t>
            </w:r>
          </w:p>
        </w:tc>
      </w:tr>
      <w:tr w:rsidR="009D6C83" w:rsidRPr="00E15BEA" w14:paraId="5F8B0D88"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C2A73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Analytics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95BD4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Efficiency trend, monthly breakdown, distribution, and transfer-to-discharge ratio</w:t>
            </w:r>
          </w:p>
        </w:tc>
      </w:tr>
      <w:tr w:rsidR="009D6C83" w:rsidRPr="00E15BEA" w14:paraId="08BC98FE"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92F1D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lastRenderedPageBreak/>
              <w:t>Discharge Analytics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54EAB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 Effectiveness trend, monthly discharge volume, and distribution analysis</w:t>
            </w:r>
          </w:p>
        </w:tc>
      </w:tr>
      <w:tr w:rsidR="009D6C83" w:rsidRPr="00E15BEA" w14:paraId="30689ABB"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45F21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Bottleneck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64F71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Backlog trend and ranked highest-backlog period detection</w:t>
            </w:r>
          </w:p>
        </w:tc>
      </w:tr>
      <w:tr w:rsidR="009D6C83" w:rsidRPr="00E15BEA" w14:paraId="31FF4ED3"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04BC3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Stagnation Detection</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B48FD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Stagnation period trend with alert-zone shading and detected period table</w:t>
            </w:r>
          </w:p>
        </w:tc>
      </w:tr>
      <w:tr w:rsidR="009D6C83" w:rsidRPr="00E15BEA" w14:paraId="2B684C42"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7FCA1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Outcome Stability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77F11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Rolling discharge effectiveness, stability band, and distribution spread</w:t>
            </w:r>
          </w:p>
        </w:tc>
      </w:tr>
      <w:tr w:rsidR="009D6C83" w:rsidRPr="00E15BEA" w14:paraId="39653C2C"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42381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Monthly Trends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6EF2C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Seasonal and month-over-month placement trend analysis</w:t>
            </w:r>
          </w:p>
        </w:tc>
      </w:tr>
      <w:tr w:rsidR="009D6C83" w:rsidRPr="00E15BEA" w14:paraId="6D0AFBAB"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C2496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Weekday vs Weekend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882547" w14:textId="62E71D6E" w:rsidR="0023126B" w:rsidRPr="0023126B" w:rsidRDefault="00830EFB">
            <w:pPr>
              <w:rPr>
                <w:rFonts w:ascii="Times New Roman" w:hAnsi="Times New Roman" w:cs="Times New Roman"/>
                <w:color w:val="000000"/>
                <w:sz w:val="20"/>
                <w:szCs w:val="20"/>
              </w:rPr>
            </w:pPr>
            <w:r w:rsidRPr="00E15BEA">
              <w:rPr>
                <w:rFonts w:ascii="Times New Roman" w:hAnsi="Times New Roman" w:cs="Times New Roman"/>
                <w:color w:val="000000"/>
                <w:sz w:val="20"/>
                <w:szCs w:val="20"/>
              </w:rPr>
              <w:t>Day-of-week and weekday/weekend efficiency comparison</w:t>
            </w:r>
          </w:p>
        </w:tc>
      </w:tr>
      <w:tr w:rsidR="0023126B" w:rsidRPr="00E15BEA" w14:paraId="037928E6"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CF24F8" w14:textId="0EE5A374" w:rsidR="0023126B" w:rsidRPr="00E15BEA" w:rsidRDefault="0023126B">
            <w:pPr>
              <w:rPr>
                <w:rFonts w:ascii="Times New Roman" w:hAnsi="Times New Roman" w:cs="Times New Roman"/>
                <w:color w:val="000000"/>
                <w:sz w:val="20"/>
                <w:szCs w:val="20"/>
              </w:rPr>
            </w:pPr>
            <w:r>
              <w:rPr>
                <w:rFonts w:ascii="Times New Roman" w:hAnsi="Times New Roman" w:cs="Times New Roman"/>
                <w:color w:val="000000"/>
                <w:sz w:val="20"/>
                <w:szCs w:val="20"/>
              </w:rPr>
              <w:t>Year over Year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C9EC3F" w14:textId="057AC2C3" w:rsidR="0023126B" w:rsidRPr="00E15BEA" w:rsidRDefault="00900A71">
            <w:pPr>
              <w:rPr>
                <w:rFonts w:ascii="Times New Roman" w:hAnsi="Times New Roman" w:cs="Times New Roman"/>
                <w:color w:val="000000"/>
                <w:sz w:val="20"/>
                <w:szCs w:val="20"/>
              </w:rPr>
            </w:pPr>
            <w:r w:rsidRPr="00900A71">
              <w:rPr>
                <w:rFonts w:ascii="Times New Roman" w:hAnsi="Times New Roman" w:cs="Times New Roman"/>
                <w:color w:val="000000"/>
                <w:sz w:val="20"/>
                <w:szCs w:val="20"/>
              </w:rPr>
              <w:t>Evaluate and compare annual performance (2023–2025) across key care pipeline metrics to identify trends, operational changes, and emerging risks.</w:t>
            </w:r>
          </w:p>
        </w:tc>
      </w:tr>
    </w:tbl>
    <w:p w14:paraId="5965B805" w14:textId="76D96F60"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 xml:space="preserve">Table 4. Structure of the </w:t>
      </w:r>
      <w:r w:rsidR="00814A3B">
        <w:rPr>
          <w:rFonts w:ascii="Times New Roman" w:hAnsi="Times New Roman" w:cs="Times New Roman"/>
          <w:i/>
          <w:iCs/>
          <w:color w:val="555555"/>
          <w:sz w:val="20"/>
          <w:szCs w:val="20"/>
        </w:rPr>
        <w:t>ten</w:t>
      </w:r>
      <w:r w:rsidRPr="00E15BEA">
        <w:rPr>
          <w:rFonts w:ascii="Times New Roman" w:hAnsi="Times New Roman" w:cs="Times New Roman"/>
          <w:i/>
          <w:iCs/>
          <w:color w:val="555555"/>
          <w:sz w:val="20"/>
          <w:szCs w:val="20"/>
        </w:rPr>
        <w:t xml:space="preserve">-page </w:t>
      </w:r>
      <w:proofErr w:type="spellStart"/>
      <w:r w:rsidRPr="00E15BEA">
        <w:rPr>
          <w:rFonts w:ascii="Times New Roman" w:hAnsi="Times New Roman" w:cs="Times New Roman"/>
          <w:i/>
          <w:iCs/>
          <w:color w:val="555555"/>
          <w:sz w:val="20"/>
          <w:szCs w:val="20"/>
        </w:rPr>
        <w:t>Streamlit</w:t>
      </w:r>
      <w:proofErr w:type="spellEnd"/>
      <w:r w:rsidRPr="00E15BEA">
        <w:rPr>
          <w:rFonts w:ascii="Times New Roman" w:hAnsi="Times New Roman" w:cs="Times New Roman"/>
          <w:i/>
          <w:iCs/>
          <w:color w:val="555555"/>
          <w:sz w:val="20"/>
          <w:szCs w:val="20"/>
        </w:rPr>
        <w:t xml:space="preserve"> analytics dashboard.</w:t>
      </w:r>
    </w:p>
    <w:p w14:paraId="2E517D0C"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0736F80D" w14:textId="77777777" w:rsidR="009D6C83" w:rsidRPr="00C766DB" w:rsidRDefault="00830EFB">
      <w:pPr>
        <w:pStyle w:val="Heading1"/>
        <w:rPr>
          <w:rFonts w:ascii="Times New Roman" w:hAnsi="Times New Roman" w:cs="Times New Roman"/>
          <w:color w:val="auto"/>
        </w:rPr>
      </w:pPr>
      <w:bookmarkStart w:id="44" w:name="_Toc232714640"/>
      <w:r w:rsidRPr="00C766DB">
        <w:rPr>
          <w:rFonts w:ascii="Times New Roman" w:hAnsi="Times New Roman" w:cs="Times New Roman"/>
          <w:color w:val="auto"/>
        </w:rPr>
        <w:lastRenderedPageBreak/>
        <w:t>7. Recommendations</w:t>
      </w:r>
      <w:bookmarkEnd w:id="44"/>
    </w:p>
    <w:p w14:paraId="62D6B129" w14:textId="77777777" w:rsidR="009D6C83" w:rsidRPr="00C766DB"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Based on the findings of this study, the following recommendations are proposed for operational and policy stakeholders.</w:t>
      </w:r>
    </w:p>
    <w:p w14:paraId="615752B3"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Monitor backlog growth using rolling, multi-week windows rather than single-day snapshots, given that the most severe backlog episodes in this dataset clustered within sustained multi-month strain periods rather than isolated spikes.</w:t>
      </w:r>
    </w:p>
    <w:p w14:paraId="6E0C90F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Investigate the demand-side versus supply-side drivers of the 2025 discharge volume decline before attributing it to reduced system load, given its direct impact on the humanitarian outcome the pipeline is designed to deliver.</w:t>
      </w:r>
    </w:p>
    <w:p w14:paraId="7321475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Maintain current weekend staffing levels rather than reallocating resources away from weekends, since this study found no evidence of weekend-driven efficiency loss in the CBP-to-HHS transfer stage.</w:t>
      </w:r>
    </w:p>
    <w:p w14:paraId="5EB9B947"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Use stagnation period alerts (five or more consecutive low-efficiency days) as an early warning trigger for operational review, given the strong correlation between stagnation length and reduced discharge effectiveness.</w:t>
      </w:r>
    </w:p>
    <w:p w14:paraId="1605C451"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Consolidate Discharge Effectiveness and HHS Care Load Ratio reporting in future dashboard iterations, given their near-perfect inverse correlation and resulting reporting redundancy.</w:t>
      </w:r>
    </w:p>
    <w:p w14:paraId="7649240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Correct the missing Saturday-record data quality issue identified in Section 5.2 in future data collection cycles to ensure complete day-of-week coverage.</w:t>
      </w:r>
    </w:p>
    <w:p w14:paraId="6EF70643" w14:textId="77777777" w:rsidR="009D6C83"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Extend the dataset with facility-level or regional granularity where feasible, to allow future analyses to localize the specific operational sources of backlog and stagnation identified at the aggregate level in this study.</w:t>
      </w:r>
    </w:p>
    <w:p w14:paraId="5698829B" w14:textId="595F7C62" w:rsidR="00F536E1" w:rsidRPr="00C766DB" w:rsidRDefault="00F536E1">
      <w:pPr>
        <w:pStyle w:val="ListParagraph"/>
        <w:numPr>
          <w:ilvl w:val="0"/>
          <w:numId w:val="3"/>
        </w:numPr>
        <w:spacing w:after="80" w:line="340" w:lineRule="auto"/>
        <w:rPr>
          <w:rFonts w:ascii="Times New Roman" w:hAnsi="Times New Roman" w:cs="Times New Roman"/>
          <w:color w:val="auto"/>
        </w:rPr>
      </w:pPr>
      <w:r w:rsidRPr="00F536E1">
        <w:rPr>
          <w:rFonts w:ascii="Times New Roman" w:hAnsi="Times New Roman" w:cs="Times New Roman"/>
          <w:color w:val="auto"/>
        </w:rPr>
        <w:t>Institutionalize year-over-year performance reviews as part of routine operational governance, allowing decision-makers to track long-term trends, evaluate policy effectiveness, and support evidence-based process improvements.</w:t>
      </w:r>
    </w:p>
    <w:p w14:paraId="15B838B2" w14:textId="77777777" w:rsidR="009D6C83" w:rsidRPr="00C766DB" w:rsidRDefault="00830EFB">
      <w:pPr>
        <w:rPr>
          <w:rFonts w:ascii="Times New Roman" w:hAnsi="Times New Roman" w:cs="Times New Roman"/>
          <w:color w:val="auto"/>
        </w:rPr>
      </w:pPr>
      <w:r w:rsidRPr="00C766DB">
        <w:rPr>
          <w:rFonts w:ascii="Times New Roman" w:hAnsi="Times New Roman" w:cs="Times New Roman"/>
          <w:color w:val="auto"/>
        </w:rPr>
        <w:br w:type="page"/>
      </w:r>
    </w:p>
    <w:p w14:paraId="5763BDFC" w14:textId="77777777" w:rsidR="009D6C83" w:rsidRPr="00C766DB" w:rsidRDefault="00830EFB">
      <w:pPr>
        <w:pStyle w:val="Heading1"/>
        <w:rPr>
          <w:rFonts w:ascii="Times New Roman" w:hAnsi="Times New Roman" w:cs="Times New Roman"/>
          <w:color w:val="auto"/>
        </w:rPr>
      </w:pPr>
      <w:bookmarkStart w:id="45" w:name="_Toc232714641"/>
      <w:r w:rsidRPr="00C766DB">
        <w:rPr>
          <w:rFonts w:ascii="Times New Roman" w:hAnsi="Times New Roman" w:cs="Times New Roman"/>
          <w:color w:val="auto"/>
        </w:rPr>
        <w:lastRenderedPageBreak/>
        <w:t>8. Conclusion</w:t>
      </w:r>
      <w:bookmarkEnd w:id="45"/>
    </w:p>
    <w:p w14:paraId="287C44AA" w14:textId="77777777" w:rsidR="009D6C83" w:rsidRPr="00C766DB"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This study reframed three years of UAC pipeline data from a capacity-monitoring lens to a process-efficiency and outcome-evaluation lens, deriving five operationally meaningful KPIs from six raw daily fields. The analysis found a system that, on average, transfers roughly seven in ten children out of CBP custody relative to its custody population each day, discharges children from HHS care at a modest but generally stable rate, and experiences backlog accumulation concentrated in sustained multi-month strain episodes rather than isolated incidents. Weekday and weekend performance were found to be operationally equivalent, challenging a common assumption about weekend-driven slowdowns, while stagnation periods of five or more days were shown to coincide with meaningfully reduced performance across both the transfer and discharge stages of the pipeline.</w:t>
      </w:r>
    </w:p>
    <w:p w14:paraId="4262F89D" w14:textId="7E2454B4" w:rsidR="009D6C83"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 xml:space="preserve">The accompanying </w:t>
      </w:r>
      <w:r w:rsidR="00E41CCB">
        <w:rPr>
          <w:rFonts w:ascii="Times New Roman" w:hAnsi="Times New Roman" w:cs="Times New Roman"/>
          <w:color w:val="auto"/>
        </w:rPr>
        <w:t>ten</w:t>
      </w:r>
      <w:r w:rsidRPr="00C766DB">
        <w:rPr>
          <w:rFonts w:ascii="Times New Roman" w:hAnsi="Times New Roman" w:cs="Times New Roman"/>
          <w:color w:val="auto"/>
        </w:rPr>
        <w:t xml:space="preserve">-page </w:t>
      </w:r>
      <w:proofErr w:type="spellStart"/>
      <w:r w:rsidRPr="00C766DB">
        <w:rPr>
          <w:rFonts w:ascii="Times New Roman" w:hAnsi="Times New Roman" w:cs="Times New Roman"/>
          <w:color w:val="auto"/>
        </w:rPr>
        <w:t>Streamlit</w:t>
      </w:r>
      <w:proofErr w:type="spellEnd"/>
      <w:r w:rsidRPr="00C766DB">
        <w:rPr>
          <w:rFonts w:ascii="Times New Roman" w:hAnsi="Times New Roman" w:cs="Times New Roman"/>
          <w:color w:val="auto"/>
        </w:rPr>
        <w:t xml:space="preserve"> dashboard operationalizes these findings into a live monitoring tool capable of supporting day-to-day case management decisions as well as longer-term policy evaluation. Continued monitoring, the rolling-window backlog and stagnation alerting recommended in Section 7, and targeted investigation into the late-period discharge decline identified in Section 4.2 represent the most direct paths toward improving reunification timelines and strengthening child welfare outcomes within this system going forward.</w:t>
      </w:r>
    </w:p>
    <w:p w14:paraId="75B77EB4" w14:textId="77777777" w:rsidR="00C8378D" w:rsidRPr="00C8378D" w:rsidRDefault="00C8378D" w:rsidP="00C8378D">
      <w:pPr>
        <w:spacing w:after="160" w:line="360" w:lineRule="auto"/>
        <w:jc w:val="both"/>
        <w:rPr>
          <w:rFonts w:ascii="Times New Roman" w:hAnsi="Times New Roman" w:cs="Times New Roman"/>
          <w:color w:val="auto"/>
        </w:rPr>
      </w:pPr>
      <w:r w:rsidRPr="00C8378D">
        <w:rPr>
          <w:rFonts w:ascii="Times New Roman" w:hAnsi="Times New Roman" w:cs="Times New Roman"/>
          <w:color w:val="auto"/>
        </w:rPr>
        <w:t>The addition of a dedicated Year-over-Year Analysis further strengthened the evaluation framework by providing a long-term view of operational performance. Annual comparisons revealed declining transfer and discharge efficiency, increasing warning events, and the emergence of prolonged stagnation periods by 2025. These trends reinforce the importance of continuous performance monitoring and demonstrate the value of combining daily, monthly, and annual perspectives when assessing the effectiveness of complex care-transition systems.</w:t>
      </w:r>
    </w:p>
    <w:p w14:paraId="63C3AB5B" w14:textId="77777777" w:rsidR="00C8378D" w:rsidRDefault="00C8378D">
      <w:pPr>
        <w:spacing w:after="160" w:line="360" w:lineRule="auto"/>
        <w:jc w:val="both"/>
        <w:rPr>
          <w:rFonts w:ascii="Times New Roman" w:hAnsi="Times New Roman" w:cs="Times New Roman"/>
          <w:color w:val="auto"/>
        </w:rPr>
      </w:pPr>
    </w:p>
    <w:p w14:paraId="21D804A8" w14:textId="77777777" w:rsidR="00332D4F" w:rsidRDefault="00332D4F">
      <w:pPr>
        <w:spacing w:after="160" w:line="360" w:lineRule="auto"/>
        <w:jc w:val="both"/>
        <w:rPr>
          <w:rFonts w:ascii="Times New Roman" w:hAnsi="Times New Roman" w:cs="Times New Roman"/>
          <w:color w:val="auto"/>
        </w:rPr>
      </w:pPr>
    </w:p>
    <w:p w14:paraId="24B122DC" w14:textId="77777777" w:rsidR="00332D4F" w:rsidRDefault="00332D4F">
      <w:pPr>
        <w:spacing w:after="160" w:line="360" w:lineRule="auto"/>
        <w:jc w:val="both"/>
        <w:rPr>
          <w:rFonts w:ascii="Times New Roman" w:hAnsi="Times New Roman" w:cs="Times New Roman"/>
          <w:color w:val="auto"/>
        </w:rPr>
      </w:pPr>
    </w:p>
    <w:p w14:paraId="3992BA11" w14:textId="77777777" w:rsidR="00332D4F" w:rsidRDefault="00332D4F">
      <w:pPr>
        <w:spacing w:after="160" w:line="360" w:lineRule="auto"/>
        <w:jc w:val="both"/>
        <w:rPr>
          <w:rFonts w:ascii="Times New Roman" w:hAnsi="Times New Roman" w:cs="Times New Roman"/>
          <w:color w:val="auto"/>
        </w:rPr>
      </w:pPr>
    </w:p>
    <w:p w14:paraId="04CE5475" w14:textId="77777777" w:rsidR="00332D4F" w:rsidRDefault="00332D4F">
      <w:pPr>
        <w:spacing w:after="160" w:line="360" w:lineRule="auto"/>
        <w:jc w:val="both"/>
        <w:rPr>
          <w:rFonts w:ascii="Times New Roman" w:hAnsi="Times New Roman" w:cs="Times New Roman"/>
          <w:color w:val="auto"/>
        </w:rPr>
      </w:pPr>
    </w:p>
    <w:p w14:paraId="3A273882" w14:textId="77777777" w:rsidR="00332D4F" w:rsidRDefault="00332D4F">
      <w:pPr>
        <w:spacing w:after="160" w:line="360" w:lineRule="auto"/>
        <w:jc w:val="both"/>
        <w:rPr>
          <w:rFonts w:ascii="Times New Roman" w:hAnsi="Times New Roman" w:cs="Times New Roman"/>
          <w:color w:val="auto"/>
        </w:rPr>
      </w:pPr>
    </w:p>
    <w:p w14:paraId="5015343B" w14:textId="77777777" w:rsidR="00332D4F" w:rsidRDefault="00332D4F">
      <w:pPr>
        <w:spacing w:after="160" w:line="360" w:lineRule="auto"/>
        <w:jc w:val="both"/>
        <w:rPr>
          <w:rFonts w:ascii="Times New Roman" w:hAnsi="Times New Roman" w:cs="Times New Roman"/>
          <w:color w:val="auto"/>
        </w:rPr>
      </w:pPr>
    </w:p>
    <w:p w14:paraId="46005795" w14:textId="77777777" w:rsidR="00332D4F" w:rsidRPr="00332D4F" w:rsidRDefault="00332D4F" w:rsidP="00332D4F">
      <w:pPr>
        <w:pStyle w:val="Heading1"/>
        <w:rPr>
          <w:rFonts w:ascii="Times New Roman" w:hAnsi="Times New Roman" w:cs="Times New Roman"/>
          <w:color w:val="auto"/>
        </w:rPr>
      </w:pPr>
      <w:r w:rsidRPr="00332D4F">
        <w:rPr>
          <w:rFonts w:ascii="Times New Roman" w:hAnsi="Times New Roman" w:cs="Times New Roman"/>
          <w:color w:val="auto"/>
        </w:rPr>
        <w:lastRenderedPageBreak/>
        <w:t>9. Future Research</w:t>
      </w:r>
    </w:p>
    <w:p w14:paraId="162CC5D3" w14:textId="77777777" w:rsidR="00332D4F" w:rsidRPr="00332D4F" w:rsidRDefault="00332D4F" w:rsidP="00332D4F">
      <w:pPr>
        <w:spacing w:after="160" w:line="360" w:lineRule="auto"/>
        <w:jc w:val="both"/>
        <w:rPr>
          <w:rFonts w:ascii="Times New Roman" w:hAnsi="Times New Roman" w:cs="Times New Roman"/>
        </w:rPr>
      </w:pPr>
      <w:r w:rsidRPr="00332D4F">
        <w:rPr>
          <w:rFonts w:ascii="Times New Roman" w:hAnsi="Times New Roman" w:cs="Times New Roman"/>
        </w:rPr>
        <w:t>The findings and limitations identified in this study point toward several concrete directions for follow-on analytical and operational research. These are organized below by analytical depth, data expansion, and methodological rigor.</w:t>
      </w:r>
    </w:p>
    <w:p w14:paraId="4EADE932"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9.1 Causal Analysis of the Late-Period Discharge Decline</w:t>
      </w:r>
    </w:p>
    <w:p w14:paraId="00D81030"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Section 4.2 identified a sustained decline in monthly discharge volume during the final months of the observation period but stopped short of attributing a cause, consistent with the correlational scope of this study (Section 5.5). A priority direction for future work is a quasi-experimental or causal inference approach — such as interrupted time-series analysis or a structural break test — applied jointly to intake volume and discharge volume, to determine whether the decline reflects reduced demand, reduced processing capacity, or a policy-driven shift in sponsor vetting requirements.</w:t>
      </w:r>
    </w:p>
    <w:p w14:paraId="7BF1BFED"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9.2 Facility- and Region-Level Disaggregation</w:t>
      </w:r>
    </w:p>
    <w:p w14:paraId="045CD3AD"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As noted in Section 5.1, the current dataset is aggregated at the national daily level. Extending data collection to facility-level or regional granularity would allow future analyses to localize where, geographically and organizationally, backlog and stagnation events originate, enabling targeted rather than system-wide interventions.</w:t>
      </w:r>
    </w:p>
    <w:p w14:paraId="78313423"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9.3 Sponsor-Side Process Modelling</w:t>
      </w:r>
    </w:p>
    <w:p w14:paraId="12AA2DEF"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This study models the pipeline up to the point of discharge but does not separately observe sponsor-side factors such as vetting duration, home study completion time, or post-placement case follow-up. Incorporating sponsor-side process data, where available, would allow the Discharge Effectiveness Index to be decomposed into HHS-side processing speed versus sponsor-side approval speed, sharpening the diagnostic value of the metric.</w:t>
      </w:r>
    </w:p>
    <w:p w14:paraId="25B0F02F"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9.4 Predictive Backlog and Stagnation Forecasting</w:t>
      </w:r>
    </w:p>
    <w:p w14:paraId="0FFB040F" w14:textId="77777777" w:rsid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The backlog and stagnation detection methods used in this study are retrospective, flagging strain only after it has occurred. A natural extension is the development of a short-horizon forecasting model — for example, using ARIMA, exponential smoothing, or a gradient-boosted regression on lagged intake and throughput features — to predict elevated backlog risk several days in advance, enabling proactive rather than reactive operational response.</w:t>
      </w:r>
    </w:p>
    <w:p w14:paraId="0E458334" w14:textId="77777777" w:rsidR="008243DB" w:rsidRPr="00332D4F" w:rsidRDefault="008243DB" w:rsidP="00332D4F">
      <w:pPr>
        <w:spacing w:after="160" w:line="360" w:lineRule="auto"/>
        <w:jc w:val="both"/>
        <w:rPr>
          <w:rFonts w:ascii="Times New Roman" w:hAnsi="Times New Roman" w:cs="Times New Roman"/>
          <w:color w:val="auto"/>
        </w:rPr>
      </w:pPr>
    </w:p>
    <w:p w14:paraId="2BD763C8"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lastRenderedPageBreak/>
        <w:t>9.5 Formal Causal Inference on Weekday/Weekend Parity</w:t>
      </w:r>
    </w:p>
    <w:p w14:paraId="011BA935" w14:textId="77777777" w:rsidR="00332D4F" w:rsidRPr="00332D4F" w:rsidRDefault="00332D4F" w:rsidP="00332D4F">
      <w:pPr>
        <w:spacing w:after="160" w:line="360" w:lineRule="auto"/>
        <w:jc w:val="both"/>
        <w:rPr>
          <w:rFonts w:ascii="Times New Roman" w:hAnsi="Times New Roman" w:cs="Times New Roman"/>
        </w:rPr>
      </w:pPr>
      <w:r w:rsidRPr="00332D4F">
        <w:rPr>
          <w:rFonts w:ascii="Times New Roman" w:hAnsi="Times New Roman" w:cs="Times New Roman"/>
        </w:rPr>
        <w:t>While Section 3.7 found no meaningful weekday/weekend efficiency gap in this dataset, this result was established through descriptive comparison rather than formal hypothesis testing. Future work should apply a two-sample statistical test (e.g., Welch's t-test or a non-parametric equivalent given the data's distributional properties) to confirm whether the observed 1.6% difference is statistically distinguishable from zero, and should extend the analysis to federal holidays and other non-standard operating days not captured by a simple weekday/weekend split.</w:t>
      </w:r>
    </w:p>
    <w:p w14:paraId="1D36F68D"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9.6 Dashboard Extension to Real-Time Data Ingestion</w:t>
      </w:r>
    </w:p>
    <w:p w14:paraId="609D3DB6" w14:textId="77777777" w:rsidR="00332D4F" w:rsidRDefault="00332D4F" w:rsidP="00332D4F">
      <w:pPr>
        <w:spacing w:after="160" w:line="360" w:lineRule="auto"/>
        <w:jc w:val="both"/>
        <w:rPr>
          <w:rFonts w:ascii="Times New Roman" w:hAnsi="Times New Roman" w:cs="Times New Roman"/>
          <w:sz w:val="25"/>
          <w:szCs w:val="25"/>
        </w:rPr>
      </w:pPr>
      <w:r w:rsidRPr="00332D4F">
        <w:rPr>
          <w:rFonts w:ascii="Times New Roman" w:hAnsi="Times New Roman" w:cs="Times New Roman"/>
        </w:rPr>
        <w:t xml:space="preserve">The current </w:t>
      </w:r>
      <w:proofErr w:type="spellStart"/>
      <w:r w:rsidRPr="00332D4F">
        <w:rPr>
          <w:rFonts w:ascii="Times New Roman" w:hAnsi="Times New Roman" w:cs="Times New Roman"/>
        </w:rPr>
        <w:t>Streamlit</w:t>
      </w:r>
      <w:proofErr w:type="spellEnd"/>
      <w:r w:rsidRPr="00332D4F">
        <w:rPr>
          <w:rFonts w:ascii="Times New Roman" w:hAnsi="Times New Roman" w:cs="Times New Roman"/>
        </w:rPr>
        <w:t xml:space="preserve"> dashboard operates on a static, periodically refreshed CSV extract. A natural operational extension is connecting the dashboard to a live or near-real-time data pipeline (e.g., a scheduled ETL job feeding a managed database), which would allow the KPIs, alerts, and stagnation detection described in this paper to function as a genuine real-time operational monitoring tool rather than a retrospective analytical one.</w:t>
      </w:r>
    </w:p>
    <w:p w14:paraId="5F9D852B" w14:textId="77777777" w:rsidR="00E64074" w:rsidRPr="00E64074" w:rsidRDefault="00E64074" w:rsidP="00696802">
      <w:pPr>
        <w:spacing w:after="160" w:line="276" w:lineRule="auto"/>
        <w:jc w:val="both"/>
        <w:rPr>
          <w:rFonts w:ascii="Times New Roman" w:hAnsi="Times New Roman" w:cs="Times New Roman"/>
          <w:b/>
          <w:bCs/>
          <w:sz w:val="25"/>
          <w:szCs w:val="25"/>
        </w:rPr>
      </w:pPr>
      <w:r w:rsidRPr="00E64074">
        <w:rPr>
          <w:rFonts w:ascii="Times New Roman" w:hAnsi="Times New Roman" w:cs="Times New Roman"/>
          <w:b/>
          <w:bCs/>
          <w:sz w:val="25"/>
          <w:szCs w:val="25"/>
        </w:rPr>
        <w:t>9.7 Long-Term Performance Forecasting</w:t>
      </w:r>
    </w:p>
    <w:p w14:paraId="390A9D23" w14:textId="77777777" w:rsidR="00E64074" w:rsidRPr="00E64074" w:rsidRDefault="00E64074" w:rsidP="00E64074">
      <w:pPr>
        <w:spacing w:after="160" w:line="360" w:lineRule="auto"/>
        <w:jc w:val="both"/>
        <w:rPr>
          <w:rFonts w:ascii="Times New Roman" w:hAnsi="Times New Roman" w:cs="Times New Roman"/>
        </w:rPr>
      </w:pPr>
      <w:r w:rsidRPr="00E64074">
        <w:rPr>
          <w:rFonts w:ascii="Times New Roman" w:hAnsi="Times New Roman" w:cs="Times New Roman"/>
        </w:rPr>
        <w:t>The Year-over-Year Analysis introduced in this study highlighted substantial changes in operational performance across the observation period. Future work should extend these findings through multi-year forecasting models capable of predicting long-term trends in Transfer Efficiency, Discharge Effectiveness, Backlog Accumulation, and Placement Outcomes. Such forecasting could support strategic capacity planning and policy evaluation by identifying performance deterioration before it becomes operationally significant.</w:t>
      </w:r>
    </w:p>
    <w:p w14:paraId="1464B6E3" w14:textId="77777777" w:rsidR="00E64074" w:rsidRPr="00E64074" w:rsidRDefault="00E64074" w:rsidP="00332D4F">
      <w:pPr>
        <w:spacing w:after="160" w:line="360" w:lineRule="auto"/>
        <w:jc w:val="both"/>
        <w:rPr>
          <w:rFonts w:ascii="Times New Roman" w:hAnsi="Times New Roman" w:cs="Times New Roman"/>
          <w:sz w:val="25"/>
          <w:szCs w:val="25"/>
        </w:rPr>
      </w:pPr>
    </w:p>
    <w:p w14:paraId="7D627A72" w14:textId="77777777" w:rsidR="00332D4F" w:rsidRPr="00C766DB" w:rsidRDefault="00332D4F">
      <w:pPr>
        <w:spacing w:after="160" w:line="360" w:lineRule="auto"/>
        <w:jc w:val="both"/>
        <w:rPr>
          <w:rFonts w:ascii="Times New Roman" w:hAnsi="Times New Roman" w:cs="Times New Roman"/>
          <w:color w:val="auto"/>
        </w:rPr>
      </w:pPr>
    </w:p>
    <w:p w14:paraId="69E8641E" w14:textId="77777777" w:rsidR="009D6C83" w:rsidRPr="00C766DB" w:rsidRDefault="00830EFB">
      <w:pPr>
        <w:rPr>
          <w:rFonts w:ascii="Times New Roman" w:hAnsi="Times New Roman" w:cs="Times New Roman"/>
          <w:color w:val="auto"/>
        </w:rPr>
      </w:pPr>
      <w:r w:rsidRPr="00C766DB">
        <w:rPr>
          <w:rFonts w:ascii="Times New Roman" w:hAnsi="Times New Roman" w:cs="Times New Roman"/>
          <w:color w:val="auto"/>
        </w:rPr>
        <w:br w:type="page"/>
      </w:r>
    </w:p>
    <w:p w14:paraId="1355BEE0" w14:textId="77777777" w:rsidR="009D6C83" w:rsidRPr="00C766DB" w:rsidRDefault="00830EFB">
      <w:pPr>
        <w:pStyle w:val="Heading1"/>
        <w:rPr>
          <w:rFonts w:ascii="Times New Roman" w:hAnsi="Times New Roman" w:cs="Times New Roman"/>
          <w:color w:val="auto"/>
        </w:rPr>
      </w:pPr>
      <w:bookmarkStart w:id="46" w:name="_Toc232714642"/>
      <w:r w:rsidRPr="00C766DB">
        <w:rPr>
          <w:rFonts w:ascii="Times New Roman" w:hAnsi="Times New Roman" w:cs="Times New Roman"/>
          <w:color w:val="auto"/>
        </w:rPr>
        <w:lastRenderedPageBreak/>
        <w:t>References</w:t>
      </w:r>
      <w:bookmarkEnd w:id="46"/>
    </w:p>
    <w:p w14:paraId="3212785B"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bookmarkStart w:id="47" w:name="_Toc232714643"/>
      <w:r w:rsidRPr="00B633B4">
        <w:rPr>
          <w:rFonts w:ascii="Times New Roman" w:hAnsi="Times New Roman" w:cs="Times New Roman"/>
        </w:rPr>
        <w:t>U.S. Department of Health and Human Services, Administration for Children and Families, Office of Refugee Resettlement. Unaccompanied Children Program operational data.</w:t>
      </w:r>
    </w:p>
    <w:p w14:paraId="09A01B33"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Unified Mentor. Care Transition Efficiency and Placement Outcome Analytics: Project Requirements and Methodology Guide.</w:t>
      </w:r>
    </w:p>
    <w:p w14:paraId="5E40195D"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U.S. Government Accountability Office. Unaccompanied Children: Actions Needed to Improve Grant Application Reviews and Oversight of Care Facilities. GAO Report.</w:t>
      </w:r>
    </w:p>
    <w:p w14:paraId="5C19FA92"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U.S. Department of Health and Human Services, Office of Inspector General. Care Provider Facilities Described Challenges Addressing Mental Health Needs of Children in HHS Custody. OIG Report.</w:t>
      </w:r>
    </w:p>
    <w:p w14:paraId="6BAEA18E"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Migration Policy Institute. Unaccompanied Children at the U.S.-Mexico Border: A Policy and Data Overview. MPI Issue Brief.</w:t>
      </w:r>
    </w:p>
    <w:p w14:paraId="2578C1B8"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Congressional Research Service. Unaccompanied Alien Children: An Overview. CRS Report for Congress.</w:t>
      </w:r>
    </w:p>
    <w:p w14:paraId="24AC7082"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Little, R. J. A., and Rubin, D. B. Statistical Analysis with Missing Data. 3rd ed. Wiley, 2019.</w:t>
      </w:r>
    </w:p>
    <w:p w14:paraId="0664FBB4"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 xml:space="preserve">Hyndman, R. J., and Athanasopoulos, G. Forecasting: Principles and Practice. 3rd ed. </w:t>
      </w:r>
      <w:proofErr w:type="spellStart"/>
      <w:r w:rsidRPr="00B633B4">
        <w:rPr>
          <w:rFonts w:ascii="Times New Roman" w:hAnsi="Times New Roman" w:cs="Times New Roman"/>
        </w:rPr>
        <w:t>OTexts</w:t>
      </w:r>
      <w:proofErr w:type="spellEnd"/>
      <w:r w:rsidRPr="00B633B4">
        <w:rPr>
          <w:rFonts w:ascii="Times New Roman" w:hAnsi="Times New Roman" w:cs="Times New Roman"/>
        </w:rPr>
        <w:t>, 2021.</w:t>
      </w:r>
    </w:p>
    <w:p w14:paraId="6B18DF03"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Box, G. E. P., Jenkins, G. M., Reinsel, G. C., and Ljung, G. M. Time Series Analysis: Forecasting and Control. 5th ed. Wiley, 2015.</w:t>
      </w:r>
    </w:p>
    <w:p w14:paraId="34305FE4"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McKinney, W. Data Structures for Statistical Computing in Python. Proceedings of the 9th Python in Science Conference, 2010.</w:t>
      </w:r>
    </w:p>
    <w:p w14:paraId="3EDB7396"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Harris, C. R. et al. Array Programming with NumPy. Nature, vol. 585, 2020, pp. 357–362.</w:t>
      </w:r>
    </w:p>
    <w:p w14:paraId="03EE1F75"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Hunter, J. D. Matplotlib: A 2D Graphics Environment. Computing in Science &amp; Engineering, vol. 9, no. 3, 2007, pp. 90–95.</w:t>
      </w:r>
    </w:p>
    <w:p w14:paraId="61397670"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proofErr w:type="spellStart"/>
      <w:r w:rsidRPr="00B633B4">
        <w:rPr>
          <w:rFonts w:ascii="Times New Roman" w:hAnsi="Times New Roman" w:cs="Times New Roman"/>
        </w:rPr>
        <w:t>Streamlit</w:t>
      </w:r>
      <w:proofErr w:type="spellEnd"/>
      <w:r w:rsidRPr="00B633B4">
        <w:rPr>
          <w:rFonts w:ascii="Times New Roman" w:hAnsi="Times New Roman" w:cs="Times New Roman"/>
        </w:rPr>
        <w:t xml:space="preserve"> Inc. </w:t>
      </w:r>
      <w:proofErr w:type="spellStart"/>
      <w:r w:rsidRPr="00B633B4">
        <w:rPr>
          <w:rFonts w:ascii="Times New Roman" w:hAnsi="Times New Roman" w:cs="Times New Roman"/>
        </w:rPr>
        <w:t>Streamlit</w:t>
      </w:r>
      <w:proofErr w:type="spellEnd"/>
      <w:r w:rsidRPr="00B633B4">
        <w:rPr>
          <w:rFonts w:ascii="Times New Roman" w:hAnsi="Times New Roman" w:cs="Times New Roman"/>
        </w:rPr>
        <w:t xml:space="preserve"> Documentation. https://docs.streamlit.io</w:t>
      </w:r>
    </w:p>
    <w:p w14:paraId="74818398"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Plotly Technologies Inc. Plotly Python Open Source Graphing Library. https://plotly.com/python/</w:t>
      </w:r>
    </w:p>
    <w:p w14:paraId="42BA49EC" w14:textId="1843B6EA" w:rsid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 xml:space="preserve">Welch, B. L. The Generalization of ‘Student’s’ Problem When Several Different Population Variances Are Involved. </w:t>
      </w:r>
      <w:proofErr w:type="spellStart"/>
      <w:r w:rsidRPr="00B633B4">
        <w:rPr>
          <w:rFonts w:ascii="Times New Roman" w:hAnsi="Times New Roman" w:cs="Times New Roman"/>
        </w:rPr>
        <w:t>Biometrika</w:t>
      </w:r>
      <w:proofErr w:type="spellEnd"/>
      <w:r w:rsidRPr="00B633B4">
        <w:rPr>
          <w:rFonts w:ascii="Times New Roman" w:hAnsi="Times New Roman" w:cs="Times New Roman"/>
        </w:rPr>
        <w:t>, vol. 34, no. 1/2, 1947, pp. 28–35.</w:t>
      </w:r>
    </w:p>
    <w:p w14:paraId="6619AC3A" w14:textId="77777777" w:rsidR="00B633B4" w:rsidRDefault="00B633B4" w:rsidP="00B633B4">
      <w:pPr>
        <w:spacing w:after="140" w:line="320" w:lineRule="auto"/>
        <w:jc w:val="both"/>
        <w:rPr>
          <w:rFonts w:ascii="Times New Roman" w:hAnsi="Times New Roman" w:cs="Times New Roman"/>
        </w:rPr>
      </w:pPr>
    </w:p>
    <w:p w14:paraId="61D9168B" w14:textId="77777777" w:rsidR="00B633B4" w:rsidRPr="00B633B4" w:rsidRDefault="00B633B4" w:rsidP="00B633B4">
      <w:pPr>
        <w:spacing w:after="140" w:line="320" w:lineRule="auto"/>
        <w:jc w:val="both"/>
        <w:rPr>
          <w:rFonts w:ascii="Times New Roman" w:hAnsi="Times New Roman" w:cs="Times New Roman"/>
        </w:rPr>
      </w:pPr>
    </w:p>
    <w:p w14:paraId="66DD8D30" w14:textId="650317F0" w:rsidR="009D6C83" w:rsidRPr="00C766DB" w:rsidRDefault="00830EFB">
      <w:pPr>
        <w:pStyle w:val="Heading1"/>
        <w:rPr>
          <w:rFonts w:ascii="Times New Roman" w:hAnsi="Times New Roman" w:cs="Times New Roman"/>
          <w:color w:val="auto"/>
        </w:rPr>
      </w:pPr>
      <w:r w:rsidRPr="00C766DB">
        <w:rPr>
          <w:rFonts w:ascii="Times New Roman" w:hAnsi="Times New Roman" w:cs="Times New Roman"/>
          <w:color w:val="auto"/>
        </w:rPr>
        <w:lastRenderedPageBreak/>
        <w:t>Appendix A: Dataset Schema</w:t>
      </w:r>
      <w:bookmarkEnd w:id="47"/>
    </w:p>
    <w:p w14:paraId="5C7E6A90"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full derived dataset (cleaned_uac.csv) contains 720 rows and 21 columns,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160"/>
      </w:tblGrid>
      <w:tr w:rsidR="009D6C83" w:rsidRPr="00E15BEA" w14:paraId="00508339" w14:textId="77777777" w:rsidTr="00DE1781">
        <w:trPr>
          <w:tblHeader/>
        </w:trPr>
        <w:tc>
          <w:tcPr>
            <w:tcW w:w="3800" w:type="dxa"/>
            <w:shd w:val="clear" w:color="auto" w:fill="0B3C5D"/>
            <w:tcMar>
              <w:top w:w="80" w:type="dxa"/>
              <w:left w:w="120" w:type="dxa"/>
              <w:bottom w:w="80" w:type="dxa"/>
              <w:right w:w="120" w:type="dxa"/>
            </w:tcMar>
            <w:vAlign w:val="center"/>
          </w:tcPr>
          <w:p w14:paraId="78CB076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Field</w:t>
            </w:r>
          </w:p>
        </w:tc>
        <w:tc>
          <w:tcPr>
            <w:tcW w:w="1400" w:type="dxa"/>
            <w:shd w:val="clear" w:color="auto" w:fill="0B3C5D"/>
            <w:tcMar>
              <w:top w:w="80" w:type="dxa"/>
              <w:left w:w="120" w:type="dxa"/>
              <w:bottom w:w="80" w:type="dxa"/>
              <w:right w:w="120" w:type="dxa"/>
            </w:tcMar>
            <w:vAlign w:val="center"/>
          </w:tcPr>
          <w:p w14:paraId="1FE6F1C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Type</w:t>
            </w:r>
          </w:p>
        </w:tc>
        <w:tc>
          <w:tcPr>
            <w:tcW w:w="4160" w:type="dxa"/>
            <w:shd w:val="clear" w:color="auto" w:fill="0B3C5D"/>
            <w:tcMar>
              <w:top w:w="80" w:type="dxa"/>
              <w:left w:w="120" w:type="dxa"/>
              <w:bottom w:w="80" w:type="dxa"/>
              <w:right w:w="120" w:type="dxa"/>
            </w:tcMar>
            <w:vAlign w:val="center"/>
          </w:tcPr>
          <w:p w14:paraId="79D52099"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Description</w:t>
            </w:r>
          </w:p>
        </w:tc>
      </w:tr>
      <w:tr w:rsidR="009D6C83" w:rsidRPr="00E15BEA" w14:paraId="22EDD758" w14:textId="77777777" w:rsidTr="00DE1781">
        <w:tc>
          <w:tcPr>
            <w:tcW w:w="3800" w:type="dxa"/>
            <w:tcMar>
              <w:top w:w="80" w:type="dxa"/>
              <w:left w:w="120" w:type="dxa"/>
              <w:bottom w:w="80" w:type="dxa"/>
              <w:right w:w="120" w:type="dxa"/>
            </w:tcMar>
            <w:vAlign w:val="center"/>
          </w:tcPr>
          <w:p w14:paraId="2BC6DC1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1400" w:type="dxa"/>
            <w:tcMar>
              <w:top w:w="80" w:type="dxa"/>
              <w:left w:w="120" w:type="dxa"/>
              <w:bottom w:w="80" w:type="dxa"/>
              <w:right w:w="120" w:type="dxa"/>
            </w:tcMar>
            <w:vAlign w:val="center"/>
          </w:tcPr>
          <w:p w14:paraId="06F5B1D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4160" w:type="dxa"/>
            <w:tcMar>
              <w:top w:w="80" w:type="dxa"/>
              <w:left w:w="120" w:type="dxa"/>
              <w:bottom w:w="80" w:type="dxa"/>
              <w:right w:w="120" w:type="dxa"/>
            </w:tcMar>
            <w:vAlign w:val="center"/>
          </w:tcPr>
          <w:p w14:paraId="1AB4BE1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reporting date</w:t>
            </w:r>
          </w:p>
        </w:tc>
      </w:tr>
      <w:tr w:rsidR="009D6C83" w:rsidRPr="00E15BEA" w14:paraId="31DD7E3A" w14:textId="77777777" w:rsidTr="00DE1781">
        <w:tc>
          <w:tcPr>
            <w:tcW w:w="3800" w:type="dxa"/>
            <w:tcMar>
              <w:top w:w="80" w:type="dxa"/>
              <w:left w:w="120" w:type="dxa"/>
              <w:bottom w:w="80" w:type="dxa"/>
              <w:right w:w="120" w:type="dxa"/>
            </w:tcMar>
            <w:vAlign w:val="center"/>
          </w:tcPr>
          <w:p w14:paraId="196B140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apprehended and placed in CBP custody</w:t>
            </w:r>
          </w:p>
        </w:tc>
        <w:tc>
          <w:tcPr>
            <w:tcW w:w="1400" w:type="dxa"/>
            <w:tcMar>
              <w:top w:w="80" w:type="dxa"/>
              <w:left w:w="120" w:type="dxa"/>
              <w:bottom w:w="80" w:type="dxa"/>
              <w:right w:w="120" w:type="dxa"/>
            </w:tcMar>
            <w:vAlign w:val="center"/>
          </w:tcPr>
          <w:p w14:paraId="3BEC07D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68F59EE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CBP intake</w:t>
            </w:r>
          </w:p>
        </w:tc>
      </w:tr>
      <w:tr w:rsidR="009D6C83" w:rsidRPr="00E15BEA" w14:paraId="60DEC49C" w14:textId="77777777" w:rsidTr="00DE1781">
        <w:tc>
          <w:tcPr>
            <w:tcW w:w="3800" w:type="dxa"/>
            <w:tcMar>
              <w:top w:w="80" w:type="dxa"/>
              <w:left w:w="120" w:type="dxa"/>
              <w:bottom w:w="80" w:type="dxa"/>
              <w:right w:w="120" w:type="dxa"/>
            </w:tcMar>
            <w:vAlign w:val="center"/>
          </w:tcPr>
          <w:p w14:paraId="1940320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CBP custody</w:t>
            </w:r>
          </w:p>
        </w:tc>
        <w:tc>
          <w:tcPr>
            <w:tcW w:w="1400" w:type="dxa"/>
            <w:tcMar>
              <w:top w:w="80" w:type="dxa"/>
              <w:left w:w="120" w:type="dxa"/>
              <w:bottom w:w="80" w:type="dxa"/>
              <w:right w:w="120" w:type="dxa"/>
            </w:tcMar>
            <w:vAlign w:val="center"/>
          </w:tcPr>
          <w:p w14:paraId="4ECC819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1694ADD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CBP population</w:t>
            </w:r>
          </w:p>
        </w:tc>
      </w:tr>
      <w:tr w:rsidR="009D6C83" w:rsidRPr="00E15BEA" w14:paraId="3D746B33" w14:textId="77777777" w:rsidTr="00DE1781">
        <w:tc>
          <w:tcPr>
            <w:tcW w:w="3800" w:type="dxa"/>
            <w:tcMar>
              <w:top w:w="80" w:type="dxa"/>
              <w:left w:w="120" w:type="dxa"/>
              <w:bottom w:w="80" w:type="dxa"/>
              <w:right w:w="120" w:type="dxa"/>
            </w:tcMar>
            <w:vAlign w:val="center"/>
          </w:tcPr>
          <w:p w14:paraId="5D297F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transferred out of CBP custody</w:t>
            </w:r>
          </w:p>
        </w:tc>
        <w:tc>
          <w:tcPr>
            <w:tcW w:w="1400" w:type="dxa"/>
            <w:tcMar>
              <w:top w:w="80" w:type="dxa"/>
              <w:left w:w="120" w:type="dxa"/>
              <w:bottom w:w="80" w:type="dxa"/>
              <w:right w:w="120" w:type="dxa"/>
            </w:tcMar>
            <w:vAlign w:val="center"/>
          </w:tcPr>
          <w:p w14:paraId="1C1C4B4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047FFF5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CBP → HHS transfers</w:t>
            </w:r>
          </w:p>
        </w:tc>
      </w:tr>
      <w:tr w:rsidR="009D6C83" w:rsidRPr="00E15BEA" w14:paraId="0A256151" w14:textId="77777777" w:rsidTr="00DE1781">
        <w:tc>
          <w:tcPr>
            <w:tcW w:w="3800" w:type="dxa"/>
            <w:tcMar>
              <w:top w:w="80" w:type="dxa"/>
              <w:left w:w="120" w:type="dxa"/>
              <w:bottom w:w="80" w:type="dxa"/>
              <w:right w:w="120" w:type="dxa"/>
            </w:tcMar>
            <w:vAlign w:val="center"/>
          </w:tcPr>
          <w:p w14:paraId="36416A4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HHS Care</w:t>
            </w:r>
          </w:p>
        </w:tc>
        <w:tc>
          <w:tcPr>
            <w:tcW w:w="1400" w:type="dxa"/>
            <w:tcMar>
              <w:top w:w="80" w:type="dxa"/>
              <w:left w:w="120" w:type="dxa"/>
              <w:bottom w:w="80" w:type="dxa"/>
              <w:right w:w="120" w:type="dxa"/>
            </w:tcMar>
            <w:vAlign w:val="center"/>
          </w:tcPr>
          <w:p w14:paraId="06961A9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478666D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HHS population</w:t>
            </w:r>
          </w:p>
        </w:tc>
      </w:tr>
      <w:tr w:rsidR="009D6C83" w:rsidRPr="00E15BEA" w14:paraId="24A506E4" w14:textId="77777777" w:rsidTr="00DE1781">
        <w:tc>
          <w:tcPr>
            <w:tcW w:w="3800" w:type="dxa"/>
            <w:tcMar>
              <w:top w:w="80" w:type="dxa"/>
              <w:left w:w="120" w:type="dxa"/>
              <w:bottom w:w="80" w:type="dxa"/>
              <w:right w:w="120" w:type="dxa"/>
            </w:tcMar>
            <w:vAlign w:val="center"/>
          </w:tcPr>
          <w:p w14:paraId="57130DE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discharged from HHS Care</w:t>
            </w:r>
          </w:p>
        </w:tc>
        <w:tc>
          <w:tcPr>
            <w:tcW w:w="1400" w:type="dxa"/>
            <w:tcMar>
              <w:top w:w="80" w:type="dxa"/>
              <w:left w:w="120" w:type="dxa"/>
              <w:bottom w:w="80" w:type="dxa"/>
              <w:right w:w="120" w:type="dxa"/>
            </w:tcMar>
            <w:vAlign w:val="center"/>
          </w:tcPr>
          <w:p w14:paraId="110960F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2FD8A0F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successful discharges</w:t>
            </w:r>
          </w:p>
        </w:tc>
      </w:tr>
      <w:tr w:rsidR="009D6C83" w:rsidRPr="00E15BEA" w14:paraId="5F3F0E81" w14:textId="77777777" w:rsidTr="00DE1781">
        <w:tc>
          <w:tcPr>
            <w:tcW w:w="3800" w:type="dxa"/>
            <w:tcMar>
              <w:top w:w="80" w:type="dxa"/>
              <w:left w:w="120" w:type="dxa"/>
              <w:bottom w:w="80" w:type="dxa"/>
              <w:right w:w="120" w:type="dxa"/>
            </w:tcMar>
            <w:vAlign w:val="center"/>
          </w:tcPr>
          <w:p w14:paraId="6A0631C4"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Transfer_Efficiency</w:t>
            </w:r>
            <w:proofErr w:type="spellEnd"/>
          </w:p>
        </w:tc>
        <w:tc>
          <w:tcPr>
            <w:tcW w:w="1400" w:type="dxa"/>
            <w:tcMar>
              <w:top w:w="80" w:type="dxa"/>
              <w:left w:w="120" w:type="dxa"/>
              <w:bottom w:w="80" w:type="dxa"/>
              <w:right w:w="120" w:type="dxa"/>
            </w:tcMar>
            <w:vAlign w:val="center"/>
          </w:tcPr>
          <w:p w14:paraId="0AB01D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21629D7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Transfers ÷ CBP custody population</w:t>
            </w:r>
          </w:p>
        </w:tc>
      </w:tr>
      <w:tr w:rsidR="009D6C83" w:rsidRPr="00E15BEA" w14:paraId="29D8FF5C" w14:textId="77777777" w:rsidTr="00DE1781">
        <w:tc>
          <w:tcPr>
            <w:tcW w:w="3800" w:type="dxa"/>
            <w:tcMar>
              <w:top w:w="80" w:type="dxa"/>
              <w:left w:w="120" w:type="dxa"/>
              <w:bottom w:w="80" w:type="dxa"/>
              <w:right w:w="120" w:type="dxa"/>
            </w:tcMar>
            <w:vAlign w:val="center"/>
          </w:tcPr>
          <w:p w14:paraId="111C60E1"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Discharge_Effectiveness</w:t>
            </w:r>
            <w:proofErr w:type="spellEnd"/>
          </w:p>
        </w:tc>
        <w:tc>
          <w:tcPr>
            <w:tcW w:w="1400" w:type="dxa"/>
            <w:tcMar>
              <w:top w:w="80" w:type="dxa"/>
              <w:left w:w="120" w:type="dxa"/>
              <w:bottom w:w="80" w:type="dxa"/>
              <w:right w:w="120" w:type="dxa"/>
            </w:tcMar>
            <w:vAlign w:val="center"/>
          </w:tcPr>
          <w:p w14:paraId="08BD4E7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6176E91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Discharges ÷ HHS care population</w:t>
            </w:r>
          </w:p>
        </w:tc>
      </w:tr>
      <w:tr w:rsidR="009D6C83" w:rsidRPr="00E15BEA" w14:paraId="677B5742" w14:textId="77777777" w:rsidTr="00DE1781">
        <w:tc>
          <w:tcPr>
            <w:tcW w:w="3800" w:type="dxa"/>
            <w:tcMar>
              <w:top w:w="80" w:type="dxa"/>
              <w:left w:w="120" w:type="dxa"/>
              <w:bottom w:w="80" w:type="dxa"/>
              <w:right w:w="120" w:type="dxa"/>
            </w:tcMar>
            <w:vAlign w:val="center"/>
          </w:tcPr>
          <w:p w14:paraId="04C92466"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Transfer_to_Discharge_Ratio</w:t>
            </w:r>
            <w:proofErr w:type="spellEnd"/>
          </w:p>
        </w:tc>
        <w:tc>
          <w:tcPr>
            <w:tcW w:w="1400" w:type="dxa"/>
            <w:tcMar>
              <w:top w:w="80" w:type="dxa"/>
              <w:left w:w="120" w:type="dxa"/>
              <w:bottom w:w="80" w:type="dxa"/>
              <w:right w:w="120" w:type="dxa"/>
            </w:tcMar>
            <w:vAlign w:val="center"/>
          </w:tcPr>
          <w:p w14:paraId="3386047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376637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Transfers ÷ discharges</w:t>
            </w:r>
          </w:p>
        </w:tc>
      </w:tr>
      <w:tr w:rsidR="009D6C83" w:rsidRPr="00E15BEA" w14:paraId="2FF463A7" w14:textId="77777777" w:rsidTr="00DE1781">
        <w:tc>
          <w:tcPr>
            <w:tcW w:w="3800" w:type="dxa"/>
            <w:tcMar>
              <w:top w:w="80" w:type="dxa"/>
              <w:left w:w="120" w:type="dxa"/>
              <w:bottom w:w="80" w:type="dxa"/>
              <w:right w:w="120" w:type="dxa"/>
            </w:tcMar>
            <w:vAlign w:val="center"/>
          </w:tcPr>
          <w:p w14:paraId="01CF5D9D"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HHS_Care_Load_Ratio</w:t>
            </w:r>
            <w:proofErr w:type="spellEnd"/>
          </w:p>
        </w:tc>
        <w:tc>
          <w:tcPr>
            <w:tcW w:w="1400" w:type="dxa"/>
            <w:tcMar>
              <w:top w:w="80" w:type="dxa"/>
              <w:left w:w="120" w:type="dxa"/>
              <w:bottom w:w="80" w:type="dxa"/>
              <w:right w:w="120" w:type="dxa"/>
            </w:tcMar>
            <w:vAlign w:val="center"/>
          </w:tcPr>
          <w:p w14:paraId="0B47135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40BD0EF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Relative HHS care population load</w:t>
            </w:r>
          </w:p>
        </w:tc>
      </w:tr>
      <w:tr w:rsidR="009D6C83" w:rsidRPr="00E15BEA" w14:paraId="4297BDEA" w14:textId="77777777" w:rsidTr="00DE1781">
        <w:tc>
          <w:tcPr>
            <w:tcW w:w="3800" w:type="dxa"/>
            <w:tcMar>
              <w:top w:w="80" w:type="dxa"/>
              <w:left w:w="120" w:type="dxa"/>
              <w:bottom w:w="80" w:type="dxa"/>
              <w:right w:w="120" w:type="dxa"/>
            </w:tcMar>
            <w:vAlign w:val="center"/>
          </w:tcPr>
          <w:p w14:paraId="4D9FDC3A"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Pipeline_Throughput</w:t>
            </w:r>
            <w:proofErr w:type="spellEnd"/>
          </w:p>
        </w:tc>
        <w:tc>
          <w:tcPr>
            <w:tcW w:w="1400" w:type="dxa"/>
            <w:tcMar>
              <w:top w:w="80" w:type="dxa"/>
              <w:left w:w="120" w:type="dxa"/>
              <w:bottom w:w="80" w:type="dxa"/>
              <w:right w:w="120" w:type="dxa"/>
            </w:tcMar>
            <w:vAlign w:val="center"/>
          </w:tcPr>
          <w:p w14:paraId="08D07FC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41C1CB0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Total exits ÷ total entries</w:t>
            </w:r>
          </w:p>
        </w:tc>
      </w:tr>
      <w:tr w:rsidR="009D6C83" w:rsidRPr="00E15BEA" w14:paraId="1769873A" w14:textId="77777777" w:rsidTr="00DE1781">
        <w:tc>
          <w:tcPr>
            <w:tcW w:w="3800" w:type="dxa"/>
            <w:tcMar>
              <w:top w:w="80" w:type="dxa"/>
              <w:left w:w="120" w:type="dxa"/>
              <w:bottom w:w="80" w:type="dxa"/>
              <w:right w:w="120" w:type="dxa"/>
            </w:tcMar>
            <w:vAlign w:val="center"/>
          </w:tcPr>
          <w:p w14:paraId="525D8E14"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Transfer_Backlog</w:t>
            </w:r>
            <w:proofErr w:type="spellEnd"/>
          </w:p>
        </w:tc>
        <w:tc>
          <w:tcPr>
            <w:tcW w:w="1400" w:type="dxa"/>
            <w:tcMar>
              <w:top w:w="80" w:type="dxa"/>
              <w:left w:w="120" w:type="dxa"/>
              <w:bottom w:w="80" w:type="dxa"/>
              <w:right w:w="120" w:type="dxa"/>
            </w:tcMar>
            <w:vAlign w:val="center"/>
          </w:tcPr>
          <w:p w14:paraId="6A20677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782DFDA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Net daily flow imbalance</w:t>
            </w:r>
          </w:p>
        </w:tc>
      </w:tr>
      <w:tr w:rsidR="009D6C83" w:rsidRPr="00E15BEA" w14:paraId="19529255" w14:textId="77777777" w:rsidTr="00DE1781">
        <w:tc>
          <w:tcPr>
            <w:tcW w:w="3800" w:type="dxa"/>
            <w:tcMar>
              <w:top w:w="80" w:type="dxa"/>
              <w:left w:w="120" w:type="dxa"/>
              <w:bottom w:w="80" w:type="dxa"/>
              <w:right w:w="120" w:type="dxa"/>
            </w:tcMar>
            <w:vAlign w:val="center"/>
          </w:tcPr>
          <w:p w14:paraId="46758A85"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Day_Type</w:t>
            </w:r>
            <w:proofErr w:type="spellEnd"/>
            <w:r w:rsidRPr="00E15BEA">
              <w:rPr>
                <w:rFonts w:ascii="Times New Roman" w:hAnsi="Times New Roman" w:cs="Times New Roman"/>
                <w:color w:val="000000"/>
                <w:sz w:val="20"/>
                <w:szCs w:val="20"/>
              </w:rPr>
              <w:t xml:space="preserve"> / </w:t>
            </w:r>
            <w:proofErr w:type="spellStart"/>
            <w:r w:rsidRPr="00E15BEA">
              <w:rPr>
                <w:rFonts w:ascii="Times New Roman" w:hAnsi="Times New Roman" w:cs="Times New Roman"/>
                <w:color w:val="000000"/>
                <w:sz w:val="20"/>
                <w:szCs w:val="20"/>
              </w:rPr>
              <w:t>Day_Name</w:t>
            </w:r>
            <w:proofErr w:type="spellEnd"/>
          </w:p>
        </w:tc>
        <w:tc>
          <w:tcPr>
            <w:tcW w:w="1400" w:type="dxa"/>
            <w:tcMar>
              <w:top w:w="80" w:type="dxa"/>
              <w:left w:w="120" w:type="dxa"/>
              <w:bottom w:w="80" w:type="dxa"/>
              <w:right w:w="120" w:type="dxa"/>
            </w:tcMar>
            <w:vAlign w:val="center"/>
          </w:tcPr>
          <w:p w14:paraId="264FF0F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Categorical</w:t>
            </w:r>
          </w:p>
        </w:tc>
        <w:tc>
          <w:tcPr>
            <w:tcW w:w="4160" w:type="dxa"/>
            <w:tcMar>
              <w:top w:w="80" w:type="dxa"/>
              <w:left w:w="120" w:type="dxa"/>
              <w:bottom w:w="80" w:type="dxa"/>
              <w:right w:w="120" w:type="dxa"/>
            </w:tcMar>
            <w:vAlign w:val="center"/>
          </w:tcPr>
          <w:p w14:paraId="63DC666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Weekday/Weekend flag and day name</w:t>
            </w:r>
          </w:p>
        </w:tc>
      </w:tr>
      <w:tr w:rsidR="009D6C83" w:rsidRPr="00E15BEA" w14:paraId="1F09B436" w14:textId="77777777" w:rsidTr="00DE1781">
        <w:tc>
          <w:tcPr>
            <w:tcW w:w="3800" w:type="dxa"/>
            <w:tcMar>
              <w:top w:w="80" w:type="dxa"/>
              <w:left w:w="120" w:type="dxa"/>
              <w:bottom w:w="80" w:type="dxa"/>
              <w:right w:w="120" w:type="dxa"/>
            </w:tcMar>
            <w:vAlign w:val="center"/>
          </w:tcPr>
          <w:p w14:paraId="0FC490D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Alert</w:t>
            </w:r>
          </w:p>
        </w:tc>
        <w:tc>
          <w:tcPr>
            <w:tcW w:w="1400" w:type="dxa"/>
            <w:tcMar>
              <w:top w:w="80" w:type="dxa"/>
              <w:left w:w="120" w:type="dxa"/>
              <w:bottom w:w="80" w:type="dxa"/>
              <w:right w:w="120" w:type="dxa"/>
            </w:tcMar>
            <w:vAlign w:val="center"/>
          </w:tcPr>
          <w:p w14:paraId="02F51FF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Categorical</w:t>
            </w:r>
          </w:p>
        </w:tc>
        <w:tc>
          <w:tcPr>
            <w:tcW w:w="4160" w:type="dxa"/>
            <w:tcMar>
              <w:top w:w="80" w:type="dxa"/>
              <w:left w:w="120" w:type="dxa"/>
              <w:bottom w:w="80" w:type="dxa"/>
              <w:right w:w="120" w:type="dxa"/>
            </w:tcMar>
            <w:vAlign w:val="center"/>
          </w:tcPr>
          <w:p w14:paraId="10D6E48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Normal / Warning operational flag</w:t>
            </w:r>
          </w:p>
        </w:tc>
      </w:tr>
      <w:tr w:rsidR="009D6C83" w:rsidRPr="00E15BEA" w14:paraId="72331F0C" w14:textId="77777777" w:rsidTr="00DE1781">
        <w:tc>
          <w:tcPr>
            <w:tcW w:w="3800" w:type="dxa"/>
            <w:tcMar>
              <w:top w:w="80" w:type="dxa"/>
              <w:left w:w="120" w:type="dxa"/>
              <w:bottom w:w="80" w:type="dxa"/>
              <w:right w:w="120" w:type="dxa"/>
            </w:tcMar>
            <w:vAlign w:val="center"/>
          </w:tcPr>
          <w:p w14:paraId="525349B1"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Rolling_Transfer_Efficiency</w:t>
            </w:r>
            <w:proofErr w:type="spellEnd"/>
          </w:p>
        </w:tc>
        <w:tc>
          <w:tcPr>
            <w:tcW w:w="1400" w:type="dxa"/>
            <w:tcMar>
              <w:top w:w="80" w:type="dxa"/>
              <w:left w:w="120" w:type="dxa"/>
              <w:bottom w:w="80" w:type="dxa"/>
              <w:right w:w="120" w:type="dxa"/>
            </w:tcMar>
            <w:vAlign w:val="center"/>
          </w:tcPr>
          <w:p w14:paraId="603EEF7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697615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Smoothed Transfer Efficiency</w:t>
            </w:r>
          </w:p>
        </w:tc>
      </w:tr>
      <w:tr w:rsidR="009D6C83" w:rsidRPr="00E15BEA" w14:paraId="1D9511DC" w14:textId="77777777" w:rsidTr="00DE1781">
        <w:tc>
          <w:tcPr>
            <w:tcW w:w="3800" w:type="dxa"/>
            <w:tcMar>
              <w:top w:w="80" w:type="dxa"/>
              <w:left w:w="120" w:type="dxa"/>
              <w:bottom w:w="80" w:type="dxa"/>
              <w:right w:w="120" w:type="dxa"/>
            </w:tcMar>
            <w:vAlign w:val="center"/>
          </w:tcPr>
          <w:p w14:paraId="2E3B1149"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Rolling_Discharge_Effectiveness</w:t>
            </w:r>
            <w:proofErr w:type="spellEnd"/>
          </w:p>
        </w:tc>
        <w:tc>
          <w:tcPr>
            <w:tcW w:w="1400" w:type="dxa"/>
            <w:tcMar>
              <w:top w:w="80" w:type="dxa"/>
              <w:left w:w="120" w:type="dxa"/>
              <w:bottom w:w="80" w:type="dxa"/>
              <w:right w:w="120" w:type="dxa"/>
            </w:tcMar>
            <w:vAlign w:val="center"/>
          </w:tcPr>
          <w:p w14:paraId="2B12F62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117A582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Smoothed Discharge Effectiveness</w:t>
            </w:r>
          </w:p>
        </w:tc>
      </w:tr>
      <w:tr w:rsidR="009D6C83" w:rsidRPr="00E15BEA" w14:paraId="6B2ACDA1" w14:textId="77777777" w:rsidTr="00DE1781">
        <w:tc>
          <w:tcPr>
            <w:tcW w:w="3800" w:type="dxa"/>
            <w:tcMar>
              <w:top w:w="80" w:type="dxa"/>
              <w:left w:w="120" w:type="dxa"/>
              <w:bottom w:w="80" w:type="dxa"/>
              <w:right w:w="120" w:type="dxa"/>
            </w:tcMar>
            <w:vAlign w:val="center"/>
          </w:tcPr>
          <w:p w14:paraId="7ADAED26"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Stagnation_Flag</w:t>
            </w:r>
            <w:proofErr w:type="spellEnd"/>
            <w:r w:rsidRPr="00E15BEA">
              <w:rPr>
                <w:rFonts w:ascii="Times New Roman" w:hAnsi="Times New Roman" w:cs="Times New Roman"/>
                <w:color w:val="000000"/>
                <w:sz w:val="20"/>
                <w:szCs w:val="20"/>
              </w:rPr>
              <w:t xml:space="preserve"> / </w:t>
            </w:r>
            <w:proofErr w:type="spellStart"/>
            <w:r w:rsidRPr="00E15BEA">
              <w:rPr>
                <w:rFonts w:ascii="Times New Roman" w:hAnsi="Times New Roman" w:cs="Times New Roman"/>
                <w:color w:val="000000"/>
                <w:sz w:val="20"/>
                <w:szCs w:val="20"/>
              </w:rPr>
              <w:t>Stagnation_Period</w:t>
            </w:r>
            <w:proofErr w:type="spellEnd"/>
          </w:p>
        </w:tc>
        <w:tc>
          <w:tcPr>
            <w:tcW w:w="1400" w:type="dxa"/>
            <w:tcMar>
              <w:top w:w="80" w:type="dxa"/>
              <w:left w:w="120" w:type="dxa"/>
              <w:bottom w:w="80" w:type="dxa"/>
              <w:right w:w="120" w:type="dxa"/>
            </w:tcMar>
            <w:vAlign w:val="center"/>
          </w:tcPr>
          <w:p w14:paraId="3BC8CE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Binary / Integer</w:t>
            </w:r>
          </w:p>
        </w:tc>
        <w:tc>
          <w:tcPr>
            <w:tcW w:w="4160" w:type="dxa"/>
            <w:tcMar>
              <w:top w:w="80" w:type="dxa"/>
              <w:left w:w="120" w:type="dxa"/>
              <w:bottom w:w="80" w:type="dxa"/>
              <w:right w:w="120" w:type="dxa"/>
            </w:tcMar>
            <w:vAlign w:val="center"/>
          </w:tcPr>
          <w:p w14:paraId="21B656C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Low-efficiency streak indicator and length</w:t>
            </w:r>
          </w:p>
        </w:tc>
      </w:tr>
    </w:tbl>
    <w:p w14:paraId="641F7712" w14:textId="77777777" w:rsidR="009D6C83" w:rsidRDefault="00830EFB">
      <w:pPr>
        <w:spacing w:before="80" w:after="240"/>
        <w:jc w:val="center"/>
        <w:rPr>
          <w:rFonts w:ascii="Times New Roman" w:hAnsi="Times New Roman" w:cs="Times New Roman"/>
          <w:i/>
          <w:iCs/>
          <w:color w:val="555555"/>
          <w:sz w:val="20"/>
          <w:szCs w:val="20"/>
        </w:rPr>
      </w:pPr>
      <w:r w:rsidRPr="00E15BEA">
        <w:rPr>
          <w:rFonts w:ascii="Times New Roman" w:hAnsi="Times New Roman" w:cs="Times New Roman"/>
          <w:i/>
          <w:iCs/>
          <w:color w:val="555555"/>
          <w:sz w:val="20"/>
          <w:szCs w:val="20"/>
        </w:rPr>
        <w:t>Table A1. Complete schema of the cleaned UAC dataset.</w:t>
      </w:r>
    </w:p>
    <w:p w14:paraId="26F7D811" w14:textId="77777777" w:rsidR="003751A4" w:rsidRDefault="003751A4" w:rsidP="003751A4">
      <w:pPr>
        <w:spacing w:before="80" w:after="240"/>
        <w:rPr>
          <w:rFonts w:ascii="Times New Roman" w:hAnsi="Times New Roman" w:cs="Times New Roman"/>
          <w:i/>
          <w:iCs/>
          <w:color w:val="555555"/>
          <w:sz w:val="20"/>
          <w:szCs w:val="20"/>
        </w:rPr>
      </w:pPr>
    </w:p>
    <w:p w14:paraId="04092FC8" w14:textId="77777777" w:rsidR="00DE1781" w:rsidRDefault="00DE1781" w:rsidP="00DE1781">
      <w:pPr>
        <w:spacing w:before="80" w:after="240"/>
        <w:rPr>
          <w:rFonts w:ascii="Times New Roman" w:hAnsi="Times New Roman" w:cs="Times New Roman"/>
        </w:rPr>
      </w:pPr>
    </w:p>
    <w:p w14:paraId="2E0BE728" w14:textId="77777777" w:rsidR="003751A4" w:rsidRDefault="003751A4" w:rsidP="00DE1781">
      <w:pPr>
        <w:spacing w:before="80" w:after="240"/>
        <w:rPr>
          <w:rFonts w:ascii="Times New Roman" w:hAnsi="Times New Roman" w:cs="Times New Roman"/>
        </w:rPr>
      </w:pPr>
    </w:p>
    <w:p w14:paraId="069948AE" w14:textId="77777777" w:rsidR="003751A4" w:rsidRDefault="003751A4" w:rsidP="00DE1781">
      <w:pPr>
        <w:spacing w:before="80" w:after="240"/>
        <w:rPr>
          <w:rFonts w:ascii="Times New Roman" w:hAnsi="Times New Roman" w:cs="Times New Roman"/>
        </w:rPr>
      </w:pPr>
    </w:p>
    <w:p w14:paraId="497ECEFB" w14:textId="77777777" w:rsidR="003751A4" w:rsidRDefault="003751A4" w:rsidP="00DE1781">
      <w:pPr>
        <w:spacing w:before="80" w:after="240"/>
        <w:rPr>
          <w:rFonts w:ascii="Times New Roman" w:hAnsi="Times New Roman" w:cs="Times New Roman"/>
        </w:rPr>
      </w:pPr>
    </w:p>
    <w:p w14:paraId="7F56897A" w14:textId="77777777" w:rsidR="003751A4" w:rsidRDefault="003751A4" w:rsidP="00DE1781">
      <w:pPr>
        <w:spacing w:before="80" w:after="240"/>
        <w:rPr>
          <w:rFonts w:ascii="Times New Roman" w:hAnsi="Times New Roman" w:cs="Times New Roman"/>
        </w:rPr>
      </w:pPr>
    </w:p>
    <w:p w14:paraId="2E7E486D" w14:textId="77777777" w:rsidR="003751A4" w:rsidRDefault="003751A4" w:rsidP="00DE1781">
      <w:pPr>
        <w:spacing w:before="80" w:after="240"/>
        <w:rPr>
          <w:rFonts w:ascii="Times New Roman" w:hAnsi="Times New Roman" w:cs="Times New Roman"/>
        </w:rPr>
      </w:pPr>
    </w:p>
    <w:p w14:paraId="4803CB0C"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Appendix B: KPI Formula Reference</w:t>
      </w:r>
    </w:p>
    <w:p w14:paraId="54917049" w14:textId="77777777" w:rsid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 xml:space="preserve">This appendix consolidates the formula, interpretation, and ideal direction for each of the five core KPIs derived and used throughout this study and the accompanying </w:t>
      </w:r>
      <w:proofErr w:type="spellStart"/>
      <w:r w:rsidRPr="003751A4">
        <w:rPr>
          <w:rFonts w:ascii="Times New Roman" w:hAnsi="Times New Roman" w:cs="Times New Roman"/>
        </w:rPr>
        <w:t>Streamlit</w:t>
      </w:r>
      <w:proofErr w:type="spellEnd"/>
      <w:r w:rsidRPr="003751A4">
        <w:rPr>
          <w:rFonts w:ascii="Times New Roman" w:hAnsi="Times New Roman" w:cs="Times New Roman"/>
        </w:rPr>
        <w:t xml:space="preserve"> dashboard, for quick reference.</w:t>
      </w:r>
    </w:p>
    <w:p w14:paraId="603458B5" w14:textId="77777777" w:rsidR="00B633B4" w:rsidRPr="00B633B4" w:rsidRDefault="00B633B4" w:rsidP="003751A4">
      <w:pPr>
        <w:spacing w:after="160" w:line="360" w:lineRule="auto"/>
        <w:jc w:val="both"/>
        <w:rPr>
          <w:rFonts w:ascii="Times New Roman" w:hAnsi="Times New Roman" w:cs="Times New Roman"/>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3751A4" w:rsidRPr="003751A4" w14:paraId="079BF4F3" w14:textId="77777777" w:rsidTr="003751A4">
        <w:trPr>
          <w:tblHeader/>
        </w:trPr>
        <w:tc>
          <w:tcPr>
            <w:tcW w:w="2600" w:type="dxa"/>
            <w:shd w:val="clear" w:color="auto" w:fill="0B3C5D"/>
            <w:tcMar>
              <w:top w:w="80" w:type="dxa"/>
              <w:left w:w="120" w:type="dxa"/>
              <w:bottom w:w="80" w:type="dxa"/>
              <w:right w:w="120" w:type="dxa"/>
            </w:tcMar>
            <w:vAlign w:val="center"/>
          </w:tcPr>
          <w:p w14:paraId="6A8D940F"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KPI</w:t>
            </w:r>
          </w:p>
        </w:tc>
        <w:tc>
          <w:tcPr>
            <w:tcW w:w="3600" w:type="dxa"/>
            <w:shd w:val="clear" w:color="auto" w:fill="0B3C5D"/>
            <w:tcMar>
              <w:top w:w="80" w:type="dxa"/>
              <w:left w:w="120" w:type="dxa"/>
              <w:bottom w:w="80" w:type="dxa"/>
              <w:right w:w="120" w:type="dxa"/>
            </w:tcMar>
            <w:vAlign w:val="center"/>
          </w:tcPr>
          <w:p w14:paraId="5475E0BC"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Formula</w:t>
            </w:r>
          </w:p>
        </w:tc>
        <w:tc>
          <w:tcPr>
            <w:tcW w:w="3160" w:type="dxa"/>
            <w:shd w:val="clear" w:color="auto" w:fill="0B3C5D"/>
            <w:tcMar>
              <w:top w:w="80" w:type="dxa"/>
              <w:left w:w="120" w:type="dxa"/>
              <w:bottom w:w="80" w:type="dxa"/>
              <w:right w:w="120" w:type="dxa"/>
            </w:tcMar>
            <w:vAlign w:val="center"/>
          </w:tcPr>
          <w:p w14:paraId="493B6B9B"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Interpretation</w:t>
            </w:r>
          </w:p>
        </w:tc>
      </w:tr>
      <w:tr w:rsidR="003751A4" w:rsidRPr="003751A4" w14:paraId="3C4E4B94" w14:textId="77777777" w:rsidTr="003751A4">
        <w:tc>
          <w:tcPr>
            <w:tcW w:w="2600" w:type="dxa"/>
            <w:tcMar>
              <w:top w:w="80" w:type="dxa"/>
              <w:left w:w="120" w:type="dxa"/>
              <w:bottom w:w="80" w:type="dxa"/>
              <w:right w:w="120" w:type="dxa"/>
            </w:tcMar>
            <w:vAlign w:val="center"/>
          </w:tcPr>
          <w:p w14:paraId="0510C76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Transfer Efficiency Ratio</w:t>
            </w:r>
          </w:p>
        </w:tc>
        <w:tc>
          <w:tcPr>
            <w:tcW w:w="3600" w:type="dxa"/>
            <w:tcMar>
              <w:top w:w="80" w:type="dxa"/>
              <w:left w:w="120" w:type="dxa"/>
              <w:bottom w:w="80" w:type="dxa"/>
              <w:right w:w="120" w:type="dxa"/>
            </w:tcMar>
            <w:vAlign w:val="center"/>
          </w:tcPr>
          <w:p w14:paraId="6FBD711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Children Transferred ÷ Children in CBP Custody</w:t>
            </w:r>
          </w:p>
        </w:tc>
        <w:tc>
          <w:tcPr>
            <w:tcW w:w="3160" w:type="dxa"/>
            <w:tcMar>
              <w:top w:w="80" w:type="dxa"/>
              <w:left w:w="120" w:type="dxa"/>
              <w:bottom w:w="80" w:type="dxa"/>
              <w:right w:w="120" w:type="dxa"/>
            </w:tcMar>
            <w:vAlign w:val="center"/>
          </w:tcPr>
          <w:p w14:paraId="51A8303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Higher is better; reflects CBP → HHS transfer speed</w:t>
            </w:r>
          </w:p>
        </w:tc>
      </w:tr>
      <w:tr w:rsidR="003751A4" w:rsidRPr="003751A4" w14:paraId="37324A79" w14:textId="77777777" w:rsidTr="003751A4">
        <w:tc>
          <w:tcPr>
            <w:tcW w:w="2600" w:type="dxa"/>
            <w:tcMar>
              <w:top w:w="80" w:type="dxa"/>
              <w:left w:w="120" w:type="dxa"/>
              <w:bottom w:w="80" w:type="dxa"/>
              <w:right w:w="120" w:type="dxa"/>
            </w:tcMar>
            <w:vAlign w:val="center"/>
          </w:tcPr>
          <w:p w14:paraId="22B63CF1"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Discharge Effectiveness Index</w:t>
            </w:r>
          </w:p>
        </w:tc>
        <w:tc>
          <w:tcPr>
            <w:tcW w:w="3600" w:type="dxa"/>
            <w:tcMar>
              <w:top w:w="80" w:type="dxa"/>
              <w:left w:w="120" w:type="dxa"/>
              <w:bottom w:w="80" w:type="dxa"/>
              <w:right w:w="120" w:type="dxa"/>
            </w:tcMar>
            <w:vAlign w:val="center"/>
          </w:tcPr>
          <w:p w14:paraId="444CAAAA"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Children Discharged ÷ Children in HHS Care</w:t>
            </w:r>
          </w:p>
        </w:tc>
        <w:tc>
          <w:tcPr>
            <w:tcW w:w="3160" w:type="dxa"/>
            <w:tcMar>
              <w:top w:w="80" w:type="dxa"/>
              <w:left w:w="120" w:type="dxa"/>
              <w:bottom w:w="80" w:type="dxa"/>
              <w:right w:w="120" w:type="dxa"/>
            </w:tcMar>
            <w:vAlign w:val="center"/>
          </w:tcPr>
          <w:p w14:paraId="4C3C0FAD"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Higher is better; reflects sponsor placement success</w:t>
            </w:r>
          </w:p>
        </w:tc>
      </w:tr>
      <w:tr w:rsidR="003751A4" w:rsidRPr="003751A4" w14:paraId="4047AA0A" w14:textId="77777777" w:rsidTr="003751A4">
        <w:tc>
          <w:tcPr>
            <w:tcW w:w="2600" w:type="dxa"/>
            <w:tcMar>
              <w:top w:w="80" w:type="dxa"/>
              <w:left w:w="120" w:type="dxa"/>
              <w:bottom w:w="80" w:type="dxa"/>
              <w:right w:w="120" w:type="dxa"/>
            </w:tcMar>
            <w:vAlign w:val="center"/>
          </w:tcPr>
          <w:p w14:paraId="1F5FC9A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Pipeline Throughput Rate</w:t>
            </w:r>
          </w:p>
        </w:tc>
        <w:tc>
          <w:tcPr>
            <w:tcW w:w="3600" w:type="dxa"/>
            <w:tcMar>
              <w:top w:w="80" w:type="dxa"/>
              <w:left w:w="120" w:type="dxa"/>
              <w:bottom w:w="80" w:type="dxa"/>
              <w:right w:w="120" w:type="dxa"/>
            </w:tcMar>
            <w:vAlign w:val="center"/>
          </w:tcPr>
          <w:p w14:paraId="38C76F92"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Total Exits ÷ Total Entries</w:t>
            </w:r>
          </w:p>
        </w:tc>
        <w:tc>
          <w:tcPr>
            <w:tcW w:w="3160" w:type="dxa"/>
            <w:tcMar>
              <w:top w:w="80" w:type="dxa"/>
              <w:left w:w="120" w:type="dxa"/>
              <w:bottom w:w="80" w:type="dxa"/>
              <w:right w:w="120" w:type="dxa"/>
            </w:tcMar>
            <w:vAlign w:val="center"/>
          </w:tcPr>
          <w:p w14:paraId="5610097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≥1.0 indicates system clearing backlog; &lt;1.0 indicates growing strain</w:t>
            </w:r>
          </w:p>
        </w:tc>
      </w:tr>
      <w:tr w:rsidR="003751A4" w:rsidRPr="003751A4" w14:paraId="34C69ED4" w14:textId="77777777" w:rsidTr="003751A4">
        <w:tc>
          <w:tcPr>
            <w:tcW w:w="2600" w:type="dxa"/>
            <w:tcMar>
              <w:top w:w="80" w:type="dxa"/>
              <w:left w:w="120" w:type="dxa"/>
              <w:bottom w:w="80" w:type="dxa"/>
              <w:right w:w="120" w:type="dxa"/>
            </w:tcMar>
            <w:vAlign w:val="center"/>
          </w:tcPr>
          <w:p w14:paraId="185327FD"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Backlog Accumulation Rate</w:t>
            </w:r>
          </w:p>
        </w:tc>
        <w:tc>
          <w:tcPr>
            <w:tcW w:w="3600" w:type="dxa"/>
            <w:tcMar>
              <w:top w:w="80" w:type="dxa"/>
              <w:left w:w="120" w:type="dxa"/>
              <w:bottom w:w="80" w:type="dxa"/>
              <w:right w:w="120" w:type="dxa"/>
            </w:tcMar>
            <w:vAlign w:val="center"/>
          </w:tcPr>
          <w:p w14:paraId="4931CD0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Net daily imbalance between inflow and successful exits</w:t>
            </w:r>
          </w:p>
        </w:tc>
        <w:tc>
          <w:tcPr>
            <w:tcW w:w="3160" w:type="dxa"/>
            <w:tcMar>
              <w:top w:w="80" w:type="dxa"/>
              <w:left w:w="120" w:type="dxa"/>
              <w:bottom w:w="80" w:type="dxa"/>
              <w:right w:w="120" w:type="dxa"/>
            </w:tcMar>
            <w:vAlign w:val="center"/>
          </w:tcPr>
          <w:p w14:paraId="1693879F"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 xml:space="preserve">Lower (closer to zero or negative) is better; tracked cumulatively as </w:t>
            </w:r>
            <w:proofErr w:type="spellStart"/>
            <w:r w:rsidRPr="003751A4">
              <w:rPr>
                <w:rFonts w:ascii="Times New Roman" w:hAnsi="Times New Roman" w:cs="Times New Roman"/>
                <w:color w:val="000000"/>
                <w:sz w:val="20"/>
                <w:szCs w:val="20"/>
              </w:rPr>
              <w:t>Transfer_Backlog</w:t>
            </w:r>
            <w:proofErr w:type="spellEnd"/>
          </w:p>
        </w:tc>
      </w:tr>
      <w:tr w:rsidR="003751A4" w:rsidRPr="003751A4" w14:paraId="12F5937E" w14:textId="77777777" w:rsidTr="003751A4">
        <w:tc>
          <w:tcPr>
            <w:tcW w:w="2600" w:type="dxa"/>
            <w:tcMar>
              <w:top w:w="80" w:type="dxa"/>
              <w:left w:w="120" w:type="dxa"/>
              <w:bottom w:w="80" w:type="dxa"/>
              <w:right w:w="120" w:type="dxa"/>
            </w:tcMar>
            <w:vAlign w:val="center"/>
          </w:tcPr>
          <w:p w14:paraId="42C7EA1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Outcome Stability Score</w:t>
            </w:r>
          </w:p>
        </w:tc>
        <w:tc>
          <w:tcPr>
            <w:tcW w:w="3600" w:type="dxa"/>
            <w:tcMar>
              <w:top w:w="80" w:type="dxa"/>
              <w:left w:w="120" w:type="dxa"/>
              <w:bottom w:w="80" w:type="dxa"/>
              <w:right w:w="120" w:type="dxa"/>
            </w:tcMar>
            <w:vAlign w:val="center"/>
          </w:tcPr>
          <w:p w14:paraId="0A6CE56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Standard deviation of Discharge Effectiveness (raw and rolling)</w:t>
            </w:r>
          </w:p>
        </w:tc>
        <w:tc>
          <w:tcPr>
            <w:tcW w:w="3160" w:type="dxa"/>
            <w:tcMar>
              <w:top w:w="80" w:type="dxa"/>
              <w:left w:w="120" w:type="dxa"/>
              <w:bottom w:w="80" w:type="dxa"/>
              <w:right w:w="120" w:type="dxa"/>
            </w:tcMar>
            <w:vAlign w:val="center"/>
          </w:tcPr>
          <w:p w14:paraId="0EA960DC"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Lower is better; reflects consistency of placement outcomes over time</w:t>
            </w:r>
          </w:p>
        </w:tc>
      </w:tr>
    </w:tbl>
    <w:p w14:paraId="72280BC2" w14:textId="77777777" w:rsidR="003751A4" w:rsidRPr="003751A4" w:rsidRDefault="003751A4" w:rsidP="003751A4">
      <w:pPr>
        <w:spacing w:before="80" w:after="240"/>
        <w:jc w:val="center"/>
        <w:rPr>
          <w:rFonts w:ascii="Times New Roman" w:hAnsi="Times New Roman" w:cs="Times New Roman"/>
        </w:rPr>
      </w:pPr>
      <w:r w:rsidRPr="003751A4">
        <w:rPr>
          <w:rFonts w:ascii="Times New Roman" w:hAnsi="Times New Roman" w:cs="Times New Roman"/>
          <w:i/>
          <w:iCs/>
          <w:color w:val="555555"/>
          <w:sz w:val="20"/>
          <w:szCs w:val="20"/>
        </w:rPr>
        <w:t>Table B1. KPI formula and interpretation reference.</w:t>
      </w:r>
    </w:p>
    <w:p w14:paraId="7A97BCDE" w14:textId="77777777" w:rsidR="00B633B4" w:rsidRPr="00B633B4" w:rsidRDefault="00B633B4" w:rsidP="003751A4">
      <w:pPr>
        <w:spacing w:after="160" w:line="360" w:lineRule="auto"/>
        <w:jc w:val="both"/>
        <w:rPr>
          <w:rFonts w:ascii="Times New Roman" w:hAnsi="Times New Roman" w:cs="Times New Roman"/>
          <w:color w:val="auto"/>
          <w:sz w:val="6"/>
          <w:szCs w:val="6"/>
        </w:rPr>
      </w:pPr>
    </w:p>
    <w:p w14:paraId="0557FA28" w14:textId="6042B7F3" w:rsidR="003751A4" w:rsidRPr="00B633B4" w:rsidRDefault="003751A4" w:rsidP="003751A4">
      <w:pPr>
        <w:spacing w:after="160" w:line="360" w:lineRule="auto"/>
        <w:jc w:val="both"/>
        <w:rPr>
          <w:rFonts w:ascii="Times New Roman" w:hAnsi="Times New Roman" w:cs="Times New Roman"/>
          <w:color w:val="auto"/>
        </w:rPr>
      </w:pPr>
      <w:r w:rsidRPr="00B633B4">
        <w:rPr>
          <w:rFonts w:ascii="Times New Roman" w:hAnsi="Times New Roman" w:cs="Times New Roman"/>
          <w:color w:val="auto"/>
        </w:rPr>
        <w:t>Two supporting diagnostic ratios were also derived from the same underlying fields and are surfaced in the Transfer Analytics dashboard page: the Transfer-to-Discharge Ratio (Transfers ÷ Discharges, where a ratio above 1.0 indicates more children entering HHS care than leaving it on a given day) and the HHS Care Load Ratio, which, as discussed in Section 4.4, is mathematically near-redundant with Discharge Effectiveness and is retained primarily as a corroborating signal rather than an independent KPI.</w:t>
      </w:r>
    </w:p>
    <w:p w14:paraId="1B247A92" w14:textId="77777777" w:rsidR="003751A4" w:rsidRPr="003751A4" w:rsidRDefault="003751A4" w:rsidP="003751A4">
      <w:pPr>
        <w:rPr>
          <w:rFonts w:ascii="Times New Roman" w:hAnsi="Times New Roman" w:cs="Times New Roman"/>
        </w:rPr>
      </w:pPr>
      <w:r w:rsidRPr="003751A4">
        <w:rPr>
          <w:rFonts w:ascii="Times New Roman" w:hAnsi="Times New Roman" w:cs="Times New Roman"/>
        </w:rPr>
        <w:br w:type="page"/>
      </w:r>
    </w:p>
    <w:p w14:paraId="617EE2B1"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Appendix C: Software and Tools</w:t>
      </w:r>
    </w:p>
    <w:p w14:paraId="5BCB8E38" w14:textId="77777777" w:rsid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All analysis, visualization, and dashboard development for this project were conducted using the open-source Python data science stack, summarized in Table C1.</w:t>
      </w:r>
    </w:p>
    <w:p w14:paraId="36148D8B" w14:textId="77777777" w:rsidR="00B633B4" w:rsidRPr="00B633B4" w:rsidRDefault="00B633B4" w:rsidP="003751A4">
      <w:pPr>
        <w:spacing w:after="160" w:line="360" w:lineRule="auto"/>
        <w:jc w:val="both"/>
        <w:rPr>
          <w:rFonts w:ascii="Times New Roman" w:hAnsi="Times New Roman" w:cs="Times New Roman"/>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3751A4" w:rsidRPr="003751A4" w14:paraId="1678F8FB" w14:textId="77777777" w:rsidTr="005F1F5B">
        <w:trPr>
          <w:tblHeader/>
        </w:trPr>
        <w:tc>
          <w:tcPr>
            <w:tcW w:w="3200" w:type="dxa"/>
            <w:shd w:val="clear" w:color="auto" w:fill="0B3C5D"/>
            <w:tcMar>
              <w:top w:w="80" w:type="dxa"/>
              <w:left w:w="120" w:type="dxa"/>
              <w:bottom w:w="80" w:type="dxa"/>
              <w:right w:w="120" w:type="dxa"/>
            </w:tcMar>
            <w:vAlign w:val="center"/>
          </w:tcPr>
          <w:p w14:paraId="2B1BE618"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Tool / Library</w:t>
            </w:r>
          </w:p>
        </w:tc>
        <w:tc>
          <w:tcPr>
            <w:tcW w:w="2400" w:type="dxa"/>
            <w:shd w:val="clear" w:color="auto" w:fill="0B3C5D"/>
            <w:tcMar>
              <w:top w:w="80" w:type="dxa"/>
              <w:left w:w="120" w:type="dxa"/>
              <w:bottom w:w="80" w:type="dxa"/>
              <w:right w:w="120" w:type="dxa"/>
            </w:tcMar>
            <w:vAlign w:val="center"/>
          </w:tcPr>
          <w:p w14:paraId="6856E1D6"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Version Class</w:t>
            </w:r>
          </w:p>
        </w:tc>
        <w:tc>
          <w:tcPr>
            <w:tcW w:w="3760" w:type="dxa"/>
            <w:shd w:val="clear" w:color="auto" w:fill="0B3C5D"/>
            <w:tcMar>
              <w:top w:w="80" w:type="dxa"/>
              <w:left w:w="120" w:type="dxa"/>
              <w:bottom w:w="80" w:type="dxa"/>
              <w:right w:w="120" w:type="dxa"/>
            </w:tcMar>
            <w:vAlign w:val="center"/>
          </w:tcPr>
          <w:p w14:paraId="6822B4A4"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Role in Project</w:t>
            </w:r>
          </w:p>
        </w:tc>
      </w:tr>
      <w:tr w:rsidR="003751A4" w:rsidRPr="003751A4" w14:paraId="2BD586E2" w14:textId="77777777" w:rsidTr="005F1F5B">
        <w:tc>
          <w:tcPr>
            <w:tcW w:w="3200" w:type="dxa"/>
            <w:tcMar>
              <w:top w:w="80" w:type="dxa"/>
              <w:left w:w="120" w:type="dxa"/>
              <w:bottom w:w="80" w:type="dxa"/>
              <w:right w:w="120" w:type="dxa"/>
            </w:tcMar>
            <w:vAlign w:val="center"/>
          </w:tcPr>
          <w:p w14:paraId="39F48342"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Python</w:t>
            </w:r>
          </w:p>
        </w:tc>
        <w:tc>
          <w:tcPr>
            <w:tcW w:w="2400" w:type="dxa"/>
            <w:tcMar>
              <w:top w:w="80" w:type="dxa"/>
              <w:left w:w="120" w:type="dxa"/>
              <w:bottom w:w="80" w:type="dxa"/>
              <w:right w:w="120" w:type="dxa"/>
            </w:tcMar>
            <w:vAlign w:val="center"/>
          </w:tcPr>
          <w:p w14:paraId="745C5F2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3.x</w:t>
            </w:r>
          </w:p>
        </w:tc>
        <w:tc>
          <w:tcPr>
            <w:tcW w:w="3760" w:type="dxa"/>
            <w:tcMar>
              <w:top w:w="80" w:type="dxa"/>
              <w:left w:w="120" w:type="dxa"/>
              <w:bottom w:w="80" w:type="dxa"/>
              <w:right w:w="120" w:type="dxa"/>
            </w:tcMar>
            <w:vAlign w:val="center"/>
          </w:tcPr>
          <w:p w14:paraId="16BB55C1"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Core programming language for all data processing and analysis</w:t>
            </w:r>
          </w:p>
        </w:tc>
      </w:tr>
      <w:tr w:rsidR="003751A4" w:rsidRPr="003751A4" w14:paraId="0385B5FA" w14:textId="77777777" w:rsidTr="005F1F5B">
        <w:tc>
          <w:tcPr>
            <w:tcW w:w="3200" w:type="dxa"/>
            <w:tcMar>
              <w:top w:w="80" w:type="dxa"/>
              <w:left w:w="120" w:type="dxa"/>
              <w:bottom w:w="80" w:type="dxa"/>
              <w:right w:w="120" w:type="dxa"/>
            </w:tcMar>
            <w:vAlign w:val="center"/>
          </w:tcPr>
          <w:p w14:paraId="39A467AA"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pandas</w:t>
            </w:r>
          </w:p>
        </w:tc>
        <w:tc>
          <w:tcPr>
            <w:tcW w:w="2400" w:type="dxa"/>
            <w:tcMar>
              <w:top w:w="80" w:type="dxa"/>
              <w:left w:w="120" w:type="dxa"/>
              <w:bottom w:w="80" w:type="dxa"/>
              <w:right w:w="120" w:type="dxa"/>
            </w:tcMar>
            <w:vAlign w:val="center"/>
          </w:tcPr>
          <w:p w14:paraId="7329BD3F"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Data manipulation</w:t>
            </w:r>
          </w:p>
        </w:tc>
        <w:tc>
          <w:tcPr>
            <w:tcW w:w="3760" w:type="dxa"/>
            <w:tcMar>
              <w:top w:w="80" w:type="dxa"/>
              <w:left w:w="120" w:type="dxa"/>
              <w:bottom w:w="80" w:type="dxa"/>
              <w:right w:w="120" w:type="dxa"/>
            </w:tcMar>
            <w:vAlign w:val="center"/>
          </w:tcPr>
          <w:p w14:paraId="234E079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Loading, cleaning, grouping, and aggregating the daily UAC dataset</w:t>
            </w:r>
          </w:p>
        </w:tc>
      </w:tr>
      <w:tr w:rsidR="003751A4" w:rsidRPr="003751A4" w14:paraId="1FCA7269" w14:textId="77777777" w:rsidTr="005F1F5B">
        <w:tc>
          <w:tcPr>
            <w:tcW w:w="3200" w:type="dxa"/>
            <w:tcMar>
              <w:top w:w="80" w:type="dxa"/>
              <w:left w:w="120" w:type="dxa"/>
              <w:bottom w:w="80" w:type="dxa"/>
              <w:right w:w="120" w:type="dxa"/>
            </w:tcMar>
            <w:vAlign w:val="center"/>
          </w:tcPr>
          <w:p w14:paraId="3BA2D8F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NumPy</w:t>
            </w:r>
          </w:p>
        </w:tc>
        <w:tc>
          <w:tcPr>
            <w:tcW w:w="2400" w:type="dxa"/>
            <w:tcMar>
              <w:top w:w="80" w:type="dxa"/>
              <w:left w:w="120" w:type="dxa"/>
              <w:bottom w:w="80" w:type="dxa"/>
              <w:right w:w="120" w:type="dxa"/>
            </w:tcMar>
            <w:vAlign w:val="center"/>
          </w:tcPr>
          <w:p w14:paraId="716953F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Numerical computing</w:t>
            </w:r>
          </w:p>
        </w:tc>
        <w:tc>
          <w:tcPr>
            <w:tcW w:w="3760" w:type="dxa"/>
            <w:tcMar>
              <w:top w:w="80" w:type="dxa"/>
              <w:left w:w="120" w:type="dxa"/>
              <w:bottom w:w="80" w:type="dxa"/>
              <w:right w:w="120" w:type="dxa"/>
            </w:tcMar>
            <w:vAlign w:val="center"/>
          </w:tcPr>
          <w:p w14:paraId="70C7105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Vectorized numerical operations underlying derived metric calculations</w:t>
            </w:r>
          </w:p>
        </w:tc>
      </w:tr>
      <w:tr w:rsidR="003751A4" w:rsidRPr="003751A4" w14:paraId="0435C0B0" w14:textId="77777777" w:rsidTr="005F1F5B">
        <w:tc>
          <w:tcPr>
            <w:tcW w:w="3200" w:type="dxa"/>
            <w:tcMar>
              <w:top w:w="80" w:type="dxa"/>
              <w:left w:w="120" w:type="dxa"/>
              <w:bottom w:w="80" w:type="dxa"/>
              <w:right w:w="120" w:type="dxa"/>
            </w:tcMar>
            <w:vAlign w:val="center"/>
          </w:tcPr>
          <w:p w14:paraId="3493DE6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Matplotlib</w:t>
            </w:r>
          </w:p>
        </w:tc>
        <w:tc>
          <w:tcPr>
            <w:tcW w:w="2400" w:type="dxa"/>
            <w:tcMar>
              <w:top w:w="80" w:type="dxa"/>
              <w:left w:w="120" w:type="dxa"/>
              <w:bottom w:w="80" w:type="dxa"/>
              <w:right w:w="120" w:type="dxa"/>
            </w:tcMar>
            <w:vAlign w:val="center"/>
          </w:tcPr>
          <w:p w14:paraId="27C87229"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Static visualization</w:t>
            </w:r>
          </w:p>
        </w:tc>
        <w:tc>
          <w:tcPr>
            <w:tcW w:w="3760" w:type="dxa"/>
            <w:tcMar>
              <w:top w:w="80" w:type="dxa"/>
              <w:left w:w="120" w:type="dxa"/>
              <w:bottom w:w="80" w:type="dxa"/>
              <w:right w:w="120" w:type="dxa"/>
            </w:tcMar>
            <w:vAlign w:val="center"/>
          </w:tcPr>
          <w:p w14:paraId="4FD046B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Generation of all publication-quality figures embedded in this paper</w:t>
            </w:r>
          </w:p>
        </w:tc>
      </w:tr>
      <w:tr w:rsidR="003751A4" w:rsidRPr="003751A4" w14:paraId="54A45387" w14:textId="77777777" w:rsidTr="005F1F5B">
        <w:tc>
          <w:tcPr>
            <w:tcW w:w="3200" w:type="dxa"/>
            <w:tcMar>
              <w:top w:w="80" w:type="dxa"/>
              <w:left w:w="120" w:type="dxa"/>
              <w:bottom w:w="80" w:type="dxa"/>
              <w:right w:w="120" w:type="dxa"/>
            </w:tcMar>
            <w:vAlign w:val="center"/>
          </w:tcPr>
          <w:p w14:paraId="1D2DCA2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Plotly (</w:t>
            </w:r>
            <w:proofErr w:type="spellStart"/>
            <w:r w:rsidRPr="003751A4">
              <w:rPr>
                <w:rFonts w:ascii="Times New Roman" w:hAnsi="Times New Roman" w:cs="Times New Roman"/>
                <w:color w:val="000000"/>
                <w:sz w:val="20"/>
                <w:szCs w:val="20"/>
              </w:rPr>
              <w:t>plotly.express</w:t>
            </w:r>
            <w:proofErr w:type="spellEnd"/>
            <w:r w:rsidRPr="003751A4">
              <w:rPr>
                <w:rFonts w:ascii="Times New Roman" w:hAnsi="Times New Roman" w:cs="Times New Roman"/>
                <w:color w:val="000000"/>
                <w:sz w:val="20"/>
                <w:szCs w:val="20"/>
              </w:rPr>
              <w:t xml:space="preserve"> / </w:t>
            </w:r>
            <w:proofErr w:type="spellStart"/>
            <w:r w:rsidRPr="003751A4">
              <w:rPr>
                <w:rFonts w:ascii="Times New Roman" w:hAnsi="Times New Roman" w:cs="Times New Roman"/>
                <w:color w:val="000000"/>
                <w:sz w:val="20"/>
                <w:szCs w:val="20"/>
              </w:rPr>
              <w:t>graph_objects</w:t>
            </w:r>
            <w:proofErr w:type="spellEnd"/>
            <w:r w:rsidRPr="003751A4">
              <w:rPr>
                <w:rFonts w:ascii="Times New Roman" w:hAnsi="Times New Roman" w:cs="Times New Roman"/>
                <w:color w:val="000000"/>
                <w:sz w:val="20"/>
                <w:szCs w:val="20"/>
              </w:rPr>
              <w:t>)</w:t>
            </w:r>
          </w:p>
        </w:tc>
        <w:tc>
          <w:tcPr>
            <w:tcW w:w="2400" w:type="dxa"/>
            <w:tcMar>
              <w:top w:w="80" w:type="dxa"/>
              <w:left w:w="120" w:type="dxa"/>
              <w:bottom w:w="80" w:type="dxa"/>
              <w:right w:w="120" w:type="dxa"/>
            </w:tcMar>
            <w:vAlign w:val="center"/>
          </w:tcPr>
          <w:p w14:paraId="00AFEB3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Interactive visualization</w:t>
            </w:r>
          </w:p>
        </w:tc>
        <w:tc>
          <w:tcPr>
            <w:tcW w:w="3760" w:type="dxa"/>
            <w:tcMar>
              <w:top w:w="80" w:type="dxa"/>
              <w:left w:w="120" w:type="dxa"/>
              <w:bottom w:w="80" w:type="dxa"/>
              <w:right w:w="120" w:type="dxa"/>
            </w:tcMar>
            <w:vAlign w:val="center"/>
          </w:tcPr>
          <w:p w14:paraId="77DF82A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 xml:space="preserve">All interactive charts within the </w:t>
            </w:r>
            <w:proofErr w:type="spellStart"/>
            <w:r w:rsidRPr="003751A4">
              <w:rPr>
                <w:rFonts w:ascii="Times New Roman" w:hAnsi="Times New Roman" w:cs="Times New Roman"/>
                <w:color w:val="000000"/>
                <w:sz w:val="20"/>
                <w:szCs w:val="20"/>
              </w:rPr>
              <w:t>Streamlit</w:t>
            </w:r>
            <w:proofErr w:type="spellEnd"/>
            <w:r w:rsidRPr="003751A4">
              <w:rPr>
                <w:rFonts w:ascii="Times New Roman" w:hAnsi="Times New Roman" w:cs="Times New Roman"/>
                <w:color w:val="000000"/>
                <w:sz w:val="20"/>
                <w:szCs w:val="20"/>
              </w:rPr>
              <w:t xml:space="preserve"> dashboard</w:t>
            </w:r>
          </w:p>
        </w:tc>
      </w:tr>
      <w:tr w:rsidR="003751A4" w:rsidRPr="003751A4" w14:paraId="3240B7DD" w14:textId="77777777" w:rsidTr="005F1F5B">
        <w:tc>
          <w:tcPr>
            <w:tcW w:w="3200" w:type="dxa"/>
            <w:tcMar>
              <w:top w:w="80" w:type="dxa"/>
              <w:left w:w="120" w:type="dxa"/>
              <w:bottom w:w="80" w:type="dxa"/>
              <w:right w:w="120" w:type="dxa"/>
            </w:tcMar>
            <w:vAlign w:val="center"/>
          </w:tcPr>
          <w:p w14:paraId="3F254805" w14:textId="77777777" w:rsidR="003751A4" w:rsidRPr="003751A4" w:rsidRDefault="003751A4" w:rsidP="00C3391D">
            <w:pPr>
              <w:rPr>
                <w:rFonts w:ascii="Times New Roman" w:hAnsi="Times New Roman" w:cs="Times New Roman"/>
              </w:rPr>
            </w:pPr>
            <w:proofErr w:type="spellStart"/>
            <w:r w:rsidRPr="003751A4">
              <w:rPr>
                <w:rFonts w:ascii="Times New Roman" w:hAnsi="Times New Roman" w:cs="Times New Roman"/>
                <w:color w:val="000000"/>
                <w:sz w:val="20"/>
                <w:szCs w:val="20"/>
              </w:rPr>
              <w:t>Streamlit</w:t>
            </w:r>
            <w:proofErr w:type="spellEnd"/>
          </w:p>
        </w:tc>
        <w:tc>
          <w:tcPr>
            <w:tcW w:w="2400" w:type="dxa"/>
            <w:tcMar>
              <w:top w:w="80" w:type="dxa"/>
              <w:left w:w="120" w:type="dxa"/>
              <w:bottom w:w="80" w:type="dxa"/>
              <w:right w:w="120" w:type="dxa"/>
            </w:tcMar>
            <w:vAlign w:val="center"/>
          </w:tcPr>
          <w:p w14:paraId="1448C9D3"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Web application framework</w:t>
            </w:r>
          </w:p>
        </w:tc>
        <w:tc>
          <w:tcPr>
            <w:tcW w:w="3760" w:type="dxa"/>
            <w:tcMar>
              <w:top w:w="80" w:type="dxa"/>
              <w:left w:w="120" w:type="dxa"/>
              <w:bottom w:w="80" w:type="dxa"/>
              <w:right w:w="120" w:type="dxa"/>
            </w:tcMar>
            <w:vAlign w:val="center"/>
          </w:tcPr>
          <w:p w14:paraId="47736D9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Construction of the nine-page interactive analytics dashboard</w:t>
            </w:r>
          </w:p>
        </w:tc>
      </w:tr>
      <w:tr w:rsidR="003751A4" w:rsidRPr="003751A4" w14:paraId="2864427D" w14:textId="77777777" w:rsidTr="005F1F5B">
        <w:tc>
          <w:tcPr>
            <w:tcW w:w="3200" w:type="dxa"/>
            <w:tcMar>
              <w:top w:w="80" w:type="dxa"/>
              <w:left w:w="120" w:type="dxa"/>
              <w:bottom w:w="80" w:type="dxa"/>
              <w:right w:w="120" w:type="dxa"/>
            </w:tcMar>
            <w:vAlign w:val="center"/>
          </w:tcPr>
          <w:p w14:paraId="77DA69F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python-docx / docx (Node.js)</w:t>
            </w:r>
          </w:p>
        </w:tc>
        <w:tc>
          <w:tcPr>
            <w:tcW w:w="2400" w:type="dxa"/>
            <w:tcMar>
              <w:top w:w="80" w:type="dxa"/>
              <w:left w:w="120" w:type="dxa"/>
              <w:bottom w:w="80" w:type="dxa"/>
              <w:right w:w="120" w:type="dxa"/>
            </w:tcMar>
            <w:vAlign w:val="center"/>
          </w:tcPr>
          <w:p w14:paraId="1120B414"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Document generation</w:t>
            </w:r>
          </w:p>
        </w:tc>
        <w:tc>
          <w:tcPr>
            <w:tcW w:w="3760" w:type="dxa"/>
            <w:tcMar>
              <w:top w:w="80" w:type="dxa"/>
              <w:left w:w="120" w:type="dxa"/>
              <w:bottom w:w="80" w:type="dxa"/>
              <w:right w:w="120" w:type="dxa"/>
            </w:tcMar>
            <w:vAlign w:val="center"/>
          </w:tcPr>
          <w:p w14:paraId="2EA91A5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Programmatic generation of this research paper</w:t>
            </w:r>
          </w:p>
        </w:tc>
      </w:tr>
      <w:tr w:rsidR="003751A4" w:rsidRPr="003751A4" w14:paraId="02EA166B" w14:textId="77777777" w:rsidTr="005F1F5B">
        <w:tc>
          <w:tcPr>
            <w:tcW w:w="3200" w:type="dxa"/>
            <w:tcMar>
              <w:top w:w="80" w:type="dxa"/>
              <w:left w:w="120" w:type="dxa"/>
              <w:bottom w:w="80" w:type="dxa"/>
              <w:right w:w="120" w:type="dxa"/>
            </w:tcMar>
            <w:vAlign w:val="center"/>
          </w:tcPr>
          <w:p w14:paraId="295788CF" w14:textId="0C61D3CB"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Microsoft Word</w:t>
            </w:r>
          </w:p>
        </w:tc>
        <w:tc>
          <w:tcPr>
            <w:tcW w:w="2400" w:type="dxa"/>
            <w:tcMar>
              <w:top w:w="80" w:type="dxa"/>
              <w:left w:w="120" w:type="dxa"/>
              <w:bottom w:w="80" w:type="dxa"/>
              <w:right w:w="120" w:type="dxa"/>
            </w:tcMar>
            <w:vAlign w:val="center"/>
          </w:tcPr>
          <w:p w14:paraId="1E28270C"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Document rendering</w:t>
            </w:r>
          </w:p>
        </w:tc>
        <w:tc>
          <w:tcPr>
            <w:tcW w:w="3760" w:type="dxa"/>
            <w:tcMar>
              <w:top w:w="80" w:type="dxa"/>
              <w:left w:w="120" w:type="dxa"/>
              <w:bottom w:w="80" w:type="dxa"/>
              <w:right w:w="120" w:type="dxa"/>
            </w:tcMar>
            <w:vAlign w:val="center"/>
          </w:tcPr>
          <w:p w14:paraId="056EB38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Final rendering and editing of the research paper output</w:t>
            </w:r>
          </w:p>
        </w:tc>
      </w:tr>
    </w:tbl>
    <w:p w14:paraId="696AA836" w14:textId="77777777" w:rsidR="003751A4" w:rsidRPr="003751A4" w:rsidRDefault="003751A4" w:rsidP="003751A4">
      <w:pPr>
        <w:spacing w:before="80" w:after="240"/>
        <w:jc w:val="center"/>
        <w:rPr>
          <w:rFonts w:ascii="Times New Roman" w:hAnsi="Times New Roman" w:cs="Times New Roman"/>
        </w:rPr>
      </w:pPr>
      <w:r w:rsidRPr="003751A4">
        <w:rPr>
          <w:rFonts w:ascii="Times New Roman" w:hAnsi="Times New Roman" w:cs="Times New Roman"/>
          <w:i/>
          <w:iCs/>
          <w:color w:val="555555"/>
          <w:sz w:val="20"/>
          <w:szCs w:val="20"/>
        </w:rPr>
        <w:t>Table C1. Software and tools used in data processing, analysis, and reporting.</w:t>
      </w:r>
    </w:p>
    <w:p w14:paraId="40032B1F" w14:textId="77777777" w:rsidR="00B633B4" w:rsidRPr="00B633B4" w:rsidRDefault="00B633B4" w:rsidP="003751A4">
      <w:pPr>
        <w:spacing w:after="160" w:line="360" w:lineRule="auto"/>
        <w:jc w:val="both"/>
        <w:rPr>
          <w:rFonts w:ascii="Times New Roman" w:hAnsi="Times New Roman" w:cs="Times New Roman"/>
          <w:sz w:val="2"/>
          <w:szCs w:val="2"/>
        </w:rPr>
      </w:pPr>
    </w:p>
    <w:p w14:paraId="3BC4194E" w14:textId="4DB8593B" w:rsidR="003751A4" w:rsidRP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 xml:space="preserve">The complete </w:t>
      </w:r>
      <w:proofErr w:type="spellStart"/>
      <w:r w:rsidRPr="003751A4">
        <w:rPr>
          <w:rFonts w:ascii="Times New Roman" w:hAnsi="Times New Roman" w:cs="Times New Roman"/>
        </w:rPr>
        <w:t>Streamlit</w:t>
      </w:r>
      <w:proofErr w:type="spellEnd"/>
      <w:r w:rsidRPr="003751A4">
        <w:rPr>
          <w:rFonts w:ascii="Times New Roman" w:hAnsi="Times New Roman" w:cs="Times New Roman"/>
        </w:rPr>
        <w:t xml:space="preserve"> dashboard source code is organized into </w:t>
      </w:r>
      <w:r w:rsidR="005605C8">
        <w:rPr>
          <w:rFonts w:ascii="Times New Roman" w:hAnsi="Times New Roman" w:cs="Times New Roman"/>
        </w:rPr>
        <w:t>ten</w:t>
      </w:r>
      <w:r w:rsidRPr="003751A4">
        <w:rPr>
          <w:rFonts w:ascii="Times New Roman" w:hAnsi="Times New Roman" w:cs="Times New Roman"/>
        </w:rPr>
        <w:t xml:space="preserve"> page modules (see Table 4, Section 6.3) plus a shared entry-point application, all reading from the single cleaned_uac.csv dataset described in Appendix A. No proprietary or licensed software was required to reproduce any analysis, figure, or KPI presented in this study.</w:t>
      </w:r>
    </w:p>
    <w:p w14:paraId="6D0B8F36" w14:textId="77777777" w:rsidR="003751A4" w:rsidRPr="003751A4" w:rsidRDefault="003751A4" w:rsidP="003751A4">
      <w:pPr>
        <w:rPr>
          <w:rFonts w:ascii="Times New Roman" w:hAnsi="Times New Roman" w:cs="Times New Roman"/>
        </w:rPr>
      </w:pPr>
      <w:r w:rsidRPr="003751A4">
        <w:rPr>
          <w:rFonts w:ascii="Times New Roman" w:hAnsi="Times New Roman" w:cs="Times New Roman"/>
        </w:rPr>
        <w:br w:type="page"/>
      </w:r>
    </w:p>
    <w:p w14:paraId="6F820E90"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About the Author</w:t>
      </w:r>
    </w:p>
    <w:p w14:paraId="6B75A591" w14:textId="26F9BBBC" w:rsidR="003751A4" w:rsidRPr="003751A4" w:rsidRDefault="00861061" w:rsidP="003751A4">
      <w:pPr>
        <w:spacing w:after="160" w:line="360" w:lineRule="auto"/>
        <w:jc w:val="both"/>
        <w:rPr>
          <w:rFonts w:ascii="Times New Roman" w:hAnsi="Times New Roman" w:cs="Times New Roman"/>
        </w:rPr>
      </w:pPr>
      <w:r>
        <w:rPr>
          <w:rFonts w:ascii="Times New Roman" w:hAnsi="Times New Roman" w:cs="Times New Roman"/>
        </w:rPr>
        <w:t>Keshav Sinha</w:t>
      </w:r>
      <w:r w:rsidR="00437727">
        <w:rPr>
          <w:rFonts w:ascii="Times New Roman" w:hAnsi="Times New Roman" w:cs="Times New Roman"/>
        </w:rPr>
        <w:t xml:space="preserve"> </w:t>
      </w:r>
      <w:r w:rsidR="003751A4" w:rsidRPr="003751A4">
        <w:rPr>
          <w:rFonts w:ascii="Times New Roman" w:hAnsi="Times New Roman" w:cs="Times New Roman"/>
        </w:rPr>
        <w:t>is a</w:t>
      </w:r>
      <w:r w:rsidR="003751A4">
        <w:rPr>
          <w:rFonts w:ascii="Times New Roman" w:hAnsi="Times New Roman" w:cs="Times New Roman"/>
        </w:rPr>
        <w:t>n</w:t>
      </w:r>
      <w:r w:rsidR="003751A4" w:rsidRPr="003751A4">
        <w:rPr>
          <w:rFonts w:ascii="Times New Roman" w:hAnsi="Times New Roman" w:cs="Times New Roman"/>
        </w:rPr>
        <w:t xml:space="preserve"> aspiring data </w:t>
      </w:r>
      <w:r w:rsidR="007739E2">
        <w:rPr>
          <w:rFonts w:ascii="Times New Roman" w:hAnsi="Times New Roman" w:cs="Times New Roman"/>
        </w:rPr>
        <w:t>analyst</w:t>
      </w:r>
      <w:r w:rsidR="003751A4" w:rsidRPr="003751A4">
        <w:rPr>
          <w:rFonts w:ascii="Times New Roman" w:hAnsi="Times New Roman" w:cs="Times New Roman"/>
        </w:rPr>
        <w:t xml:space="preserve"> intern, and AI enthusiast with an interest in healthcare analytics and process optimization.</w:t>
      </w:r>
      <w:r w:rsidR="003751A4">
        <w:rPr>
          <w:rFonts w:ascii="Times New Roman" w:hAnsi="Times New Roman" w:cs="Times New Roman"/>
        </w:rPr>
        <w:t xml:space="preserve"> </w:t>
      </w:r>
      <w:r w:rsidR="003751A4" w:rsidRPr="003751A4">
        <w:rPr>
          <w:rFonts w:ascii="Times New Roman" w:hAnsi="Times New Roman" w:cs="Times New Roman"/>
        </w:rPr>
        <w:t xml:space="preserve">This research paper and the accompanying </w:t>
      </w:r>
      <w:r w:rsidR="008A6629">
        <w:rPr>
          <w:rFonts w:ascii="Times New Roman" w:hAnsi="Times New Roman" w:cs="Times New Roman"/>
        </w:rPr>
        <w:t>ten</w:t>
      </w:r>
      <w:r w:rsidR="003751A4" w:rsidRPr="003751A4">
        <w:rPr>
          <w:rFonts w:ascii="Times New Roman" w:hAnsi="Times New Roman" w:cs="Times New Roman"/>
        </w:rPr>
        <w:t xml:space="preserve">-page </w:t>
      </w:r>
      <w:proofErr w:type="spellStart"/>
      <w:r w:rsidR="003751A4" w:rsidRPr="003751A4">
        <w:rPr>
          <w:rFonts w:ascii="Times New Roman" w:hAnsi="Times New Roman" w:cs="Times New Roman"/>
        </w:rPr>
        <w:t>Streamlit</w:t>
      </w:r>
      <w:proofErr w:type="spellEnd"/>
      <w:r w:rsidR="003751A4" w:rsidRPr="003751A4">
        <w:rPr>
          <w:rFonts w:ascii="Times New Roman" w:hAnsi="Times New Roman" w:cs="Times New Roman"/>
        </w:rPr>
        <w:t xml:space="preserve"> analytics dashboard were prepared as part of the Care Transition Efficiency and Placement Outcome Analytics project, undertaken in partnership with Unified Mentor for the U.S. Department of Health and Human Services. The work spans the full analytics lifecycle: data cleaning and KPI derivation, exploratory and statistical analysis, interactive dashboard development in </w:t>
      </w:r>
      <w:proofErr w:type="spellStart"/>
      <w:r w:rsidR="003751A4" w:rsidRPr="003751A4">
        <w:rPr>
          <w:rFonts w:ascii="Times New Roman" w:hAnsi="Times New Roman" w:cs="Times New Roman"/>
        </w:rPr>
        <w:t>Streamlit</w:t>
      </w:r>
      <w:proofErr w:type="spellEnd"/>
      <w:r w:rsidR="003751A4" w:rsidRPr="003751A4">
        <w:rPr>
          <w:rFonts w:ascii="Times New Roman" w:hAnsi="Times New Roman" w:cs="Times New Roman"/>
        </w:rPr>
        <w:t>, and the synthesis of findings into this formal research paper.</w:t>
      </w:r>
    </w:p>
    <w:p w14:paraId="1B5DA43D" w14:textId="77777777" w:rsidR="003751A4" w:rsidRP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The author's contribution to this project includes the design of the five core process-efficiency KPIs described in Section 2.3, the stagnation and backlog detection logic underlying Sections 2.4 and 3.4–3.5, the full implementation of the interactive dashboard summarized in Section 6, and the analysis, interpretation, and recommendations presented throughout this paper.</w:t>
      </w:r>
    </w:p>
    <w:p w14:paraId="3CA46502" w14:textId="1645CC9D" w:rsidR="003751A4" w:rsidRPr="003751A4" w:rsidRDefault="003751A4" w:rsidP="003751A4">
      <w:pPr>
        <w:spacing w:before="80" w:after="240"/>
        <w:rPr>
          <w:rFonts w:ascii="Times New Roman" w:hAnsi="Times New Roman" w:cs="Times New Roman"/>
        </w:rPr>
      </w:pPr>
    </w:p>
    <w:sectPr w:rsidR="003751A4" w:rsidRPr="003751A4">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5A79F" w14:textId="77777777" w:rsidR="00C20F39" w:rsidRDefault="00C20F39">
      <w:r>
        <w:separator/>
      </w:r>
    </w:p>
  </w:endnote>
  <w:endnote w:type="continuationSeparator" w:id="0">
    <w:p w14:paraId="303D18B4" w14:textId="77777777" w:rsidR="00C20F39" w:rsidRDefault="00C20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6FDC" w14:textId="77777777" w:rsidR="009D6C83" w:rsidRDefault="00830EFB">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42A04">
      <w:rPr>
        <w:noProof/>
        <w:color w:val="555555"/>
        <w:sz w:val="18"/>
        <w:szCs w:val="18"/>
      </w:rPr>
      <w:t>1</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ECB9" w14:textId="77777777" w:rsidR="009D6C83" w:rsidRDefault="00830EFB">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42A0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A309" w14:textId="77777777" w:rsidR="00C20F39" w:rsidRDefault="00C20F39">
      <w:r>
        <w:separator/>
      </w:r>
    </w:p>
  </w:footnote>
  <w:footnote w:type="continuationSeparator" w:id="0">
    <w:p w14:paraId="23415E6B" w14:textId="77777777" w:rsidR="00C20F39" w:rsidRDefault="00C20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E4F7" w14:textId="77777777" w:rsidR="009D6C83" w:rsidRDefault="00830EFB">
    <w:pPr>
      <w:jc w:val="right"/>
    </w:pPr>
    <w:r>
      <w:rPr>
        <w:i/>
        <w:iCs/>
        <w:color w:val="555555"/>
        <w:sz w:val="16"/>
        <w:szCs w:val="16"/>
      </w:rPr>
      <w:t>Care Transition Efficiency and Placement Outcome 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CAA7" w14:textId="77777777" w:rsidR="009D6C83" w:rsidRDefault="00830EFB">
    <w:pPr>
      <w:jc w:val="right"/>
    </w:pPr>
    <w:r>
      <w:rPr>
        <w:i/>
        <w:iCs/>
        <w:color w:val="555555"/>
        <w:sz w:val="16"/>
        <w:szCs w:val="16"/>
      </w:rPr>
      <w:t>Care Transition Efficiency and Placement Outcome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EDD"/>
    <w:multiLevelType w:val="hybridMultilevel"/>
    <w:tmpl w:val="6794F378"/>
    <w:lvl w:ilvl="0" w:tplc="C9543BEE">
      <w:start w:val="1"/>
      <w:numFmt w:val="bullet"/>
      <w:lvlText w:val="•"/>
      <w:lvlJc w:val="left"/>
      <w:pPr>
        <w:ind w:left="720" w:hanging="360"/>
      </w:pPr>
    </w:lvl>
    <w:lvl w:ilvl="1" w:tplc="AD72A398">
      <w:numFmt w:val="decimal"/>
      <w:lvlText w:val=""/>
      <w:lvlJc w:val="left"/>
    </w:lvl>
    <w:lvl w:ilvl="2" w:tplc="AE8E0606">
      <w:numFmt w:val="decimal"/>
      <w:lvlText w:val=""/>
      <w:lvlJc w:val="left"/>
    </w:lvl>
    <w:lvl w:ilvl="3" w:tplc="80F835F6">
      <w:numFmt w:val="decimal"/>
      <w:lvlText w:val=""/>
      <w:lvlJc w:val="left"/>
    </w:lvl>
    <w:lvl w:ilvl="4" w:tplc="6EA65076">
      <w:numFmt w:val="decimal"/>
      <w:lvlText w:val=""/>
      <w:lvlJc w:val="left"/>
    </w:lvl>
    <w:lvl w:ilvl="5" w:tplc="568480F6">
      <w:numFmt w:val="decimal"/>
      <w:lvlText w:val=""/>
      <w:lvlJc w:val="left"/>
    </w:lvl>
    <w:lvl w:ilvl="6" w:tplc="E2E274FC">
      <w:numFmt w:val="decimal"/>
      <w:lvlText w:val=""/>
      <w:lvlJc w:val="left"/>
    </w:lvl>
    <w:lvl w:ilvl="7" w:tplc="5958FE6A">
      <w:numFmt w:val="decimal"/>
      <w:lvlText w:val=""/>
      <w:lvlJc w:val="left"/>
    </w:lvl>
    <w:lvl w:ilvl="8" w:tplc="E63630B4">
      <w:numFmt w:val="decimal"/>
      <w:lvlText w:val=""/>
      <w:lvlJc w:val="left"/>
    </w:lvl>
  </w:abstractNum>
  <w:abstractNum w:abstractNumId="1" w15:restartNumberingAfterBreak="0">
    <w:nsid w:val="3BFF5E2D"/>
    <w:multiLevelType w:val="hybridMultilevel"/>
    <w:tmpl w:val="7436A61A"/>
    <w:lvl w:ilvl="0" w:tplc="CF407572">
      <w:start w:val="1"/>
      <w:numFmt w:val="decimal"/>
      <w:lvlText w:val="[%1]"/>
      <w:lvlJc w:val="left"/>
      <w:pPr>
        <w:ind w:left="600" w:hanging="600"/>
      </w:pPr>
    </w:lvl>
    <w:lvl w:ilvl="1" w:tplc="FA4A748C">
      <w:numFmt w:val="decimal"/>
      <w:lvlText w:val=""/>
      <w:lvlJc w:val="left"/>
    </w:lvl>
    <w:lvl w:ilvl="2" w:tplc="77FA45E0">
      <w:numFmt w:val="decimal"/>
      <w:lvlText w:val=""/>
      <w:lvlJc w:val="left"/>
    </w:lvl>
    <w:lvl w:ilvl="3" w:tplc="059C86AE">
      <w:numFmt w:val="decimal"/>
      <w:lvlText w:val=""/>
      <w:lvlJc w:val="left"/>
    </w:lvl>
    <w:lvl w:ilvl="4" w:tplc="24C63D32">
      <w:numFmt w:val="decimal"/>
      <w:lvlText w:val=""/>
      <w:lvlJc w:val="left"/>
    </w:lvl>
    <w:lvl w:ilvl="5" w:tplc="2CAC1DD0">
      <w:numFmt w:val="decimal"/>
      <w:lvlText w:val=""/>
      <w:lvlJc w:val="left"/>
    </w:lvl>
    <w:lvl w:ilvl="6" w:tplc="F4F04570">
      <w:numFmt w:val="decimal"/>
      <w:lvlText w:val=""/>
      <w:lvlJc w:val="left"/>
    </w:lvl>
    <w:lvl w:ilvl="7" w:tplc="31A281E8">
      <w:numFmt w:val="decimal"/>
      <w:lvlText w:val=""/>
      <w:lvlJc w:val="left"/>
    </w:lvl>
    <w:lvl w:ilvl="8" w:tplc="2B302EC0">
      <w:numFmt w:val="decimal"/>
      <w:lvlText w:val=""/>
      <w:lvlJc w:val="left"/>
    </w:lvl>
  </w:abstractNum>
  <w:abstractNum w:abstractNumId="2" w15:restartNumberingAfterBreak="0">
    <w:nsid w:val="3DF40D93"/>
    <w:multiLevelType w:val="multilevel"/>
    <w:tmpl w:val="EE0E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D00AB"/>
    <w:multiLevelType w:val="hybridMultilevel"/>
    <w:tmpl w:val="D73CAE02"/>
    <w:lvl w:ilvl="0" w:tplc="0A1E91E0">
      <w:start w:val="1"/>
      <w:numFmt w:val="bullet"/>
      <w:lvlText w:val="●"/>
      <w:lvlJc w:val="left"/>
      <w:pPr>
        <w:ind w:left="720" w:hanging="360"/>
      </w:pPr>
    </w:lvl>
    <w:lvl w:ilvl="1" w:tplc="C592F9AC">
      <w:start w:val="1"/>
      <w:numFmt w:val="bullet"/>
      <w:lvlText w:val="○"/>
      <w:lvlJc w:val="left"/>
      <w:pPr>
        <w:ind w:left="1440" w:hanging="360"/>
      </w:pPr>
    </w:lvl>
    <w:lvl w:ilvl="2" w:tplc="E09C7D44">
      <w:start w:val="1"/>
      <w:numFmt w:val="bullet"/>
      <w:lvlText w:val="■"/>
      <w:lvlJc w:val="left"/>
      <w:pPr>
        <w:ind w:left="2160" w:hanging="360"/>
      </w:pPr>
    </w:lvl>
    <w:lvl w:ilvl="3" w:tplc="06E83126">
      <w:start w:val="1"/>
      <w:numFmt w:val="bullet"/>
      <w:lvlText w:val="●"/>
      <w:lvlJc w:val="left"/>
      <w:pPr>
        <w:ind w:left="2880" w:hanging="360"/>
      </w:pPr>
    </w:lvl>
    <w:lvl w:ilvl="4" w:tplc="C5D4024A">
      <w:start w:val="1"/>
      <w:numFmt w:val="bullet"/>
      <w:lvlText w:val="○"/>
      <w:lvlJc w:val="left"/>
      <w:pPr>
        <w:ind w:left="3600" w:hanging="360"/>
      </w:pPr>
    </w:lvl>
    <w:lvl w:ilvl="5" w:tplc="2966B55A">
      <w:start w:val="1"/>
      <w:numFmt w:val="bullet"/>
      <w:lvlText w:val="■"/>
      <w:lvlJc w:val="left"/>
      <w:pPr>
        <w:ind w:left="4320" w:hanging="360"/>
      </w:pPr>
    </w:lvl>
    <w:lvl w:ilvl="6" w:tplc="E8EE7F22">
      <w:start w:val="1"/>
      <w:numFmt w:val="bullet"/>
      <w:lvlText w:val="●"/>
      <w:lvlJc w:val="left"/>
      <w:pPr>
        <w:ind w:left="5040" w:hanging="360"/>
      </w:pPr>
    </w:lvl>
    <w:lvl w:ilvl="7" w:tplc="A1CCB05C">
      <w:start w:val="1"/>
      <w:numFmt w:val="bullet"/>
      <w:lvlText w:val="●"/>
      <w:lvlJc w:val="left"/>
      <w:pPr>
        <w:ind w:left="5760" w:hanging="360"/>
      </w:pPr>
    </w:lvl>
    <w:lvl w:ilvl="8" w:tplc="4EEAC88A">
      <w:start w:val="1"/>
      <w:numFmt w:val="bullet"/>
      <w:lvlText w:val="●"/>
      <w:lvlJc w:val="left"/>
      <w:pPr>
        <w:ind w:left="6480" w:hanging="360"/>
      </w:pPr>
    </w:lvl>
  </w:abstractNum>
  <w:abstractNum w:abstractNumId="4" w15:restartNumberingAfterBreak="0">
    <w:nsid w:val="65011848"/>
    <w:multiLevelType w:val="hybridMultilevel"/>
    <w:tmpl w:val="691251E4"/>
    <w:lvl w:ilvl="0" w:tplc="025E0742">
      <w:start w:val="1"/>
      <w:numFmt w:val="decimal"/>
      <w:lvlText w:val="%1."/>
      <w:lvlJc w:val="left"/>
      <w:pPr>
        <w:ind w:left="720" w:hanging="360"/>
      </w:pPr>
    </w:lvl>
    <w:lvl w:ilvl="1" w:tplc="DB82A8A8">
      <w:numFmt w:val="decimal"/>
      <w:lvlText w:val=""/>
      <w:lvlJc w:val="left"/>
    </w:lvl>
    <w:lvl w:ilvl="2" w:tplc="BBCAD330">
      <w:numFmt w:val="decimal"/>
      <w:lvlText w:val=""/>
      <w:lvlJc w:val="left"/>
    </w:lvl>
    <w:lvl w:ilvl="3" w:tplc="4E5A4356">
      <w:numFmt w:val="decimal"/>
      <w:lvlText w:val=""/>
      <w:lvlJc w:val="left"/>
    </w:lvl>
    <w:lvl w:ilvl="4" w:tplc="B2CA8DD4">
      <w:numFmt w:val="decimal"/>
      <w:lvlText w:val=""/>
      <w:lvlJc w:val="left"/>
    </w:lvl>
    <w:lvl w:ilvl="5" w:tplc="7B1C3D6E">
      <w:numFmt w:val="decimal"/>
      <w:lvlText w:val=""/>
      <w:lvlJc w:val="left"/>
    </w:lvl>
    <w:lvl w:ilvl="6" w:tplc="0BC84AF8">
      <w:numFmt w:val="decimal"/>
      <w:lvlText w:val=""/>
      <w:lvlJc w:val="left"/>
    </w:lvl>
    <w:lvl w:ilvl="7" w:tplc="60CCE5CE">
      <w:numFmt w:val="decimal"/>
      <w:lvlText w:val=""/>
      <w:lvlJc w:val="left"/>
    </w:lvl>
    <w:lvl w:ilvl="8" w:tplc="92ECFE68">
      <w:numFmt w:val="decimal"/>
      <w:lvlText w:val=""/>
      <w:lvlJc w:val="left"/>
    </w:lvl>
  </w:abstractNum>
  <w:abstractNum w:abstractNumId="5" w15:restartNumberingAfterBreak="0">
    <w:nsid w:val="76DC1F86"/>
    <w:multiLevelType w:val="hybridMultilevel"/>
    <w:tmpl w:val="051663A0"/>
    <w:lvl w:ilvl="0" w:tplc="6D2EFD4E">
      <w:start w:val="1"/>
      <w:numFmt w:val="decimal"/>
      <w:lvlText w:val="[%1]"/>
      <w:lvlJc w:val="left"/>
      <w:pPr>
        <w:ind w:left="600" w:hanging="600"/>
      </w:pPr>
    </w:lvl>
    <w:lvl w:ilvl="1" w:tplc="54B880DA">
      <w:numFmt w:val="decimal"/>
      <w:lvlText w:val=""/>
      <w:lvlJc w:val="left"/>
    </w:lvl>
    <w:lvl w:ilvl="2" w:tplc="B4F6D4E4">
      <w:numFmt w:val="decimal"/>
      <w:lvlText w:val=""/>
      <w:lvlJc w:val="left"/>
    </w:lvl>
    <w:lvl w:ilvl="3" w:tplc="D458D5D0">
      <w:numFmt w:val="decimal"/>
      <w:lvlText w:val=""/>
      <w:lvlJc w:val="left"/>
    </w:lvl>
    <w:lvl w:ilvl="4" w:tplc="1A7ED1A6">
      <w:numFmt w:val="decimal"/>
      <w:lvlText w:val=""/>
      <w:lvlJc w:val="left"/>
    </w:lvl>
    <w:lvl w:ilvl="5" w:tplc="7548E772">
      <w:numFmt w:val="decimal"/>
      <w:lvlText w:val=""/>
      <w:lvlJc w:val="left"/>
    </w:lvl>
    <w:lvl w:ilvl="6" w:tplc="C30067EA">
      <w:numFmt w:val="decimal"/>
      <w:lvlText w:val=""/>
      <w:lvlJc w:val="left"/>
    </w:lvl>
    <w:lvl w:ilvl="7" w:tplc="0648416C">
      <w:numFmt w:val="decimal"/>
      <w:lvlText w:val=""/>
      <w:lvlJc w:val="left"/>
    </w:lvl>
    <w:lvl w:ilvl="8" w:tplc="2392E136">
      <w:numFmt w:val="decimal"/>
      <w:lvlText w:val=""/>
      <w:lvlJc w:val="left"/>
    </w:lvl>
  </w:abstractNum>
  <w:abstractNum w:abstractNumId="6" w15:restartNumberingAfterBreak="0">
    <w:nsid w:val="7DF4443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3272470">
    <w:abstractNumId w:val="3"/>
    <w:lvlOverride w:ilvl="0">
      <w:startOverride w:val="1"/>
    </w:lvlOverride>
  </w:num>
  <w:num w:numId="2" w16cid:durableId="1895121087">
    <w:abstractNumId w:val="0"/>
    <w:lvlOverride w:ilvl="0">
      <w:startOverride w:val="1"/>
    </w:lvlOverride>
  </w:num>
  <w:num w:numId="3" w16cid:durableId="938368695">
    <w:abstractNumId w:val="4"/>
    <w:lvlOverride w:ilvl="0">
      <w:startOverride w:val="1"/>
    </w:lvlOverride>
  </w:num>
  <w:num w:numId="4" w16cid:durableId="49354805">
    <w:abstractNumId w:val="1"/>
    <w:lvlOverride w:ilvl="0">
      <w:startOverride w:val="1"/>
    </w:lvlOverride>
  </w:num>
  <w:num w:numId="5" w16cid:durableId="1369066888">
    <w:abstractNumId w:val="5"/>
    <w:lvlOverride w:ilvl="0">
      <w:startOverride w:val="1"/>
    </w:lvlOverride>
  </w:num>
  <w:num w:numId="6" w16cid:durableId="1226918389">
    <w:abstractNumId w:val="6"/>
  </w:num>
  <w:num w:numId="7" w16cid:durableId="1119378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83"/>
    <w:rsid w:val="000A549E"/>
    <w:rsid w:val="000C4FA6"/>
    <w:rsid w:val="000D517E"/>
    <w:rsid w:val="0018681F"/>
    <w:rsid w:val="001C39F9"/>
    <w:rsid w:val="00220A46"/>
    <w:rsid w:val="0023126B"/>
    <w:rsid w:val="00266EC6"/>
    <w:rsid w:val="00332D4F"/>
    <w:rsid w:val="003445F0"/>
    <w:rsid w:val="003751A4"/>
    <w:rsid w:val="003807D9"/>
    <w:rsid w:val="003D3017"/>
    <w:rsid w:val="00437727"/>
    <w:rsid w:val="00465692"/>
    <w:rsid w:val="0048709E"/>
    <w:rsid w:val="004E7367"/>
    <w:rsid w:val="00506D9B"/>
    <w:rsid w:val="005605C8"/>
    <w:rsid w:val="00577446"/>
    <w:rsid w:val="005A4758"/>
    <w:rsid w:val="005F1F5B"/>
    <w:rsid w:val="005F3E5B"/>
    <w:rsid w:val="0066791C"/>
    <w:rsid w:val="00682A8E"/>
    <w:rsid w:val="00696802"/>
    <w:rsid w:val="0072110A"/>
    <w:rsid w:val="00734EC8"/>
    <w:rsid w:val="007739E2"/>
    <w:rsid w:val="0078487F"/>
    <w:rsid w:val="007A2777"/>
    <w:rsid w:val="00814A3B"/>
    <w:rsid w:val="00820886"/>
    <w:rsid w:val="008243DB"/>
    <w:rsid w:val="00830EFB"/>
    <w:rsid w:val="00861061"/>
    <w:rsid w:val="008A64B7"/>
    <w:rsid w:val="008A6629"/>
    <w:rsid w:val="008A7A34"/>
    <w:rsid w:val="00900A71"/>
    <w:rsid w:val="009D6C83"/>
    <w:rsid w:val="00A03AF3"/>
    <w:rsid w:val="00A271C3"/>
    <w:rsid w:val="00A4790E"/>
    <w:rsid w:val="00AA093C"/>
    <w:rsid w:val="00B1673E"/>
    <w:rsid w:val="00B51334"/>
    <w:rsid w:val="00B573C1"/>
    <w:rsid w:val="00B633B4"/>
    <w:rsid w:val="00B65D0F"/>
    <w:rsid w:val="00B94146"/>
    <w:rsid w:val="00BB3A7B"/>
    <w:rsid w:val="00BB66F0"/>
    <w:rsid w:val="00C20F39"/>
    <w:rsid w:val="00C268BD"/>
    <w:rsid w:val="00C42A04"/>
    <w:rsid w:val="00C766DB"/>
    <w:rsid w:val="00C8378D"/>
    <w:rsid w:val="00CA3A23"/>
    <w:rsid w:val="00CC3B92"/>
    <w:rsid w:val="00CC400B"/>
    <w:rsid w:val="00CD5380"/>
    <w:rsid w:val="00D7540D"/>
    <w:rsid w:val="00DC669D"/>
    <w:rsid w:val="00DC6D50"/>
    <w:rsid w:val="00DE1781"/>
    <w:rsid w:val="00E15BEA"/>
    <w:rsid w:val="00E336CA"/>
    <w:rsid w:val="00E41CCB"/>
    <w:rsid w:val="00E64074"/>
    <w:rsid w:val="00E93166"/>
    <w:rsid w:val="00EC1D1F"/>
    <w:rsid w:val="00F07F42"/>
    <w:rsid w:val="00F11AE2"/>
    <w:rsid w:val="00F378E5"/>
    <w:rsid w:val="00F536E1"/>
    <w:rsid w:val="00F55598"/>
    <w:rsid w:val="00F85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3C90"/>
  <w15:docId w15:val="{E96EB25C-359D-42BD-9950-56899A36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1747A0"/>
      </w:pBdr>
      <w:spacing w:before="360" w:after="200"/>
      <w:outlineLvl w:val="0"/>
    </w:pPr>
    <w:rPr>
      <w:b/>
      <w:bCs/>
      <w:color w:val="0B3C5D"/>
      <w:sz w:val="30"/>
      <w:szCs w:val="30"/>
    </w:rPr>
  </w:style>
  <w:style w:type="paragraph" w:styleId="Heading2">
    <w:name w:val="heading 2"/>
    <w:link w:val="Heading2Char"/>
    <w:uiPriority w:val="9"/>
    <w:unhideWhenUsed/>
    <w:qFormat/>
    <w:pPr>
      <w:spacing w:before="280" w:after="140"/>
      <w:outlineLvl w:val="1"/>
    </w:pPr>
    <w:rPr>
      <w:b/>
      <w:bCs/>
      <w:color w:val="0B3C5D"/>
      <w:sz w:val="25"/>
      <w:szCs w:val="25"/>
    </w:rPr>
  </w:style>
  <w:style w:type="paragraph" w:styleId="Heading3">
    <w:name w:val="heading 3"/>
    <w:uiPriority w:val="9"/>
    <w:unhideWhenUsed/>
    <w:qFormat/>
    <w:pPr>
      <w:spacing w:before="220" w:after="100"/>
      <w:outlineLvl w:val="2"/>
    </w:pPr>
    <w:rPr>
      <w:b/>
      <w:bCs/>
      <w:color w:val="1747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36CA"/>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C42A04"/>
    <w:pPr>
      <w:spacing w:after="100"/>
      <w:ind w:left="220"/>
    </w:pPr>
  </w:style>
  <w:style w:type="paragraph" w:styleId="TOC3">
    <w:name w:val="toc 3"/>
    <w:basedOn w:val="Normal"/>
    <w:next w:val="Normal"/>
    <w:autoRedefine/>
    <w:uiPriority w:val="39"/>
    <w:unhideWhenUsed/>
    <w:rsid w:val="00C42A04"/>
    <w:pPr>
      <w:spacing w:after="100"/>
      <w:ind w:left="440"/>
    </w:pPr>
  </w:style>
  <w:style w:type="paragraph" w:styleId="Header">
    <w:name w:val="header"/>
    <w:basedOn w:val="Normal"/>
    <w:link w:val="HeaderChar"/>
    <w:uiPriority w:val="99"/>
    <w:unhideWhenUsed/>
    <w:rsid w:val="007A2777"/>
    <w:pPr>
      <w:tabs>
        <w:tab w:val="center" w:pos="4513"/>
        <w:tab w:val="right" w:pos="9026"/>
      </w:tabs>
    </w:pPr>
  </w:style>
  <w:style w:type="character" w:customStyle="1" w:styleId="HeaderChar">
    <w:name w:val="Header Char"/>
    <w:basedOn w:val="DefaultParagraphFont"/>
    <w:link w:val="Header"/>
    <w:uiPriority w:val="99"/>
    <w:rsid w:val="007A2777"/>
  </w:style>
  <w:style w:type="paragraph" w:styleId="Footer">
    <w:name w:val="footer"/>
    <w:basedOn w:val="Normal"/>
    <w:link w:val="FooterChar"/>
    <w:uiPriority w:val="99"/>
    <w:unhideWhenUsed/>
    <w:rsid w:val="007A2777"/>
    <w:pPr>
      <w:tabs>
        <w:tab w:val="center" w:pos="4513"/>
        <w:tab w:val="right" w:pos="9026"/>
      </w:tabs>
    </w:pPr>
  </w:style>
  <w:style w:type="character" w:customStyle="1" w:styleId="FooterChar">
    <w:name w:val="Footer Char"/>
    <w:basedOn w:val="DefaultParagraphFont"/>
    <w:link w:val="Footer"/>
    <w:uiPriority w:val="99"/>
    <w:rsid w:val="007A2777"/>
  </w:style>
  <w:style w:type="paragraph" w:customStyle="1" w:styleId="TableParagraph">
    <w:name w:val="Table Paragraph"/>
    <w:basedOn w:val="Normal"/>
    <w:uiPriority w:val="1"/>
    <w:qFormat/>
    <w:rsid w:val="005F1F5B"/>
    <w:pPr>
      <w:widowControl w:val="0"/>
      <w:autoSpaceDE w:val="0"/>
      <w:autoSpaceDN w:val="0"/>
      <w:spacing w:before="73"/>
      <w:ind w:left="104"/>
    </w:pPr>
    <w:rPr>
      <w:rFonts w:ascii="Arial" w:eastAsia="Arial" w:hAnsi="Arial" w:cs="Arial"/>
      <w:color w:val="auto"/>
      <w:lang w:val="en-US" w:eastAsia="en-US"/>
    </w:rPr>
  </w:style>
  <w:style w:type="paragraph" w:styleId="NormalWeb">
    <w:name w:val="Normal (Web)"/>
    <w:basedOn w:val="Normal"/>
    <w:uiPriority w:val="99"/>
    <w:unhideWhenUsed/>
    <w:rsid w:val="0066791C"/>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F378E5"/>
    <w:rPr>
      <w:b/>
      <w:bCs/>
      <w:color w:val="0B3C5D"/>
      <w:sz w:val="30"/>
      <w:szCs w:val="30"/>
    </w:rPr>
  </w:style>
  <w:style w:type="character" w:customStyle="1" w:styleId="Heading2Char">
    <w:name w:val="Heading 2 Char"/>
    <w:basedOn w:val="DefaultParagraphFont"/>
    <w:link w:val="Heading2"/>
    <w:uiPriority w:val="9"/>
    <w:rsid w:val="00F378E5"/>
    <w:rPr>
      <w:b/>
      <w:bCs/>
      <w:color w:val="0B3C5D"/>
      <w:sz w:val="25"/>
      <w:szCs w:val="25"/>
    </w:rPr>
  </w:style>
  <w:style w:type="character" w:styleId="UnresolvedMention">
    <w:name w:val="Unresolved Mention"/>
    <w:basedOn w:val="DefaultParagraphFont"/>
    <w:uiPriority w:val="99"/>
    <w:semiHidden/>
    <w:unhideWhenUsed/>
    <w:rsid w:val="0073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BE8EB-7B20-4F31-9AF8-0C4488640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8485</TotalTime>
  <Pages>32</Pages>
  <Words>7309</Words>
  <Characters>41667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Care Transition Efficiency and Placement Outcome Analytics</vt:lpstr>
    </vt:vector>
  </TitlesOfParts>
  <Company/>
  <LinksUpToDate>false</LinksUpToDate>
  <CharactersWithSpaces>48879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Transition Efficiency and Placement Outcome Analytics</dc:title>
  <dc:subject/>
  <dc:creator>UAC Care Transition Analytics Project</dc:creator>
  <cp:keywords/>
  <dc:description/>
  <cp:lastModifiedBy>KESHAV SINHA</cp:lastModifiedBy>
  <cp:revision>49</cp:revision>
  <cp:lastPrinted>2026-06-28T09:55:00Z</cp:lastPrinted>
  <dcterms:created xsi:type="dcterms:W3CDTF">2026-06-18T09:54:00Z</dcterms:created>
  <dcterms:modified xsi:type="dcterms:W3CDTF">2026-06-28T20:15:00Z</dcterms:modified>
</cp:coreProperties>
</file>