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EDCA0" w14:textId="77777777" w:rsidR="00B45F77" w:rsidRDefault="00352ED0" w:rsidP="00956B3F">
      <w:pPr>
        <w:pStyle w:val="Title"/>
        <w:jc w:val="center"/>
      </w:pPr>
      <w:bookmarkStart w:id="0" w:name="_umeobog14531" w:colFirst="0" w:colLast="0"/>
      <w:bookmarkEnd w:id="0"/>
      <w:r>
        <w:t>The ubiquitination of Electric Vehicles (EVs) in North America: a blessing or a curse? A look into the economic and environmental impacts of EVs.</w:t>
      </w:r>
    </w:p>
    <w:p w14:paraId="749EDCA1" w14:textId="77777777" w:rsidR="00B45F77" w:rsidRDefault="00352ED0" w:rsidP="00956B3F">
      <w:pPr>
        <w:jc w:val="center"/>
        <w:rPr>
          <w:sz w:val="26"/>
          <w:szCs w:val="26"/>
        </w:rPr>
      </w:pPr>
      <w:r>
        <w:rPr>
          <w:b/>
          <w:sz w:val="26"/>
          <w:szCs w:val="26"/>
          <w:u w:val="single"/>
        </w:rPr>
        <w:t>Research Question</w:t>
      </w:r>
      <w:r>
        <w:rPr>
          <w:b/>
          <w:sz w:val="26"/>
          <w:szCs w:val="26"/>
        </w:rPr>
        <w:t>:</w:t>
      </w:r>
      <w:r>
        <w:rPr>
          <w:sz w:val="26"/>
          <w:szCs w:val="26"/>
        </w:rPr>
        <w:t xml:space="preserve"> In what ways does the advancement of Electric Vehicle technology and infrastructure perpetuate existing economic and environmental injustices?</w:t>
      </w:r>
    </w:p>
    <w:p w14:paraId="749EDCA2" w14:textId="77777777" w:rsidR="00B45F77" w:rsidRDefault="00352ED0" w:rsidP="00956B3F">
      <w:pPr>
        <w:jc w:val="center"/>
      </w:pPr>
      <w:r>
        <w:rPr>
          <w:b/>
          <w:u w:val="single"/>
        </w:rPr>
        <w:t>Word Count</w:t>
      </w:r>
      <w:r>
        <w:rPr>
          <w:b/>
        </w:rPr>
        <w:t>:</w:t>
      </w:r>
      <w:r>
        <w:t xml:space="preserve"> 3991</w:t>
      </w:r>
    </w:p>
    <w:p w14:paraId="749EDCA3" w14:textId="77777777" w:rsidR="00B45F77" w:rsidRDefault="00B45F77" w:rsidP="00D77036">
      <w:pPr>
        <w:jc w:val="both"/>
        <w:rPr>
          <w:b/>
        </w:rPr>
      </w:pPr>
    </w:p>
    <w:p w14:paraId="749EDCA4" w14:textId="77777777" w:rsidR="00B45F77" w:rsidRDefault="00352ED0" w:rsidP="00D77036">
      <w:pPr>
        <w:jc w:val="both"/>
        <w:rPr>
          <w:b/>
        </w:rPr>
      </w:pPr>
      <w:r>
        <w:br w:type="page"/>
      </w:r>
    </w:p>
    <w:p w14:paraId="749EDCA5" w14:textId="77777777" w:rsidR="00B45F77" w:rsidRDefault="00352ED0" w:rsidP="00D77036">
      <w:pPr>
        <w:jc w:val="both"/>
        <w:rPr>
          <w:b/>
        </w:rPr>
      </w:pPr>
      <w:r>
        <w:rPr>
          <w:b/>
        </w:rPr>
        <w:lastRenderedPageBreak/>
        <w:t>Contents</w:t>
      </w:r>
    </w:p>
    <w:p w14:paraId="749EDCA6" w14:textId="77777777" w:rsidR="00B45F77" w:rsidRDefault="00B45F77" w:rsidP="00D77036">
      <w:pPr>
        <w:pStyle w:val="Heading1"/>
        <w:jc w:val="both"/>
      </w:pPr>
      <w:bookmarkStart w:id="1" w:name="_vx6n24v32pkm" w:colFirst="0" w:colLast="0"/>
      <w:bookmarkEnd w:id="1"/>
    </w:p>
    <w:sdt>
      <w:sdtPr>
        <w:id w:val="-1678413919"/>
        <w:docPartObj>
          <w:docPartGallery w:val="Table of Contents"/>
          <w:docPartUnique/>
        </w:docPartObj>
      </w:sdtPr>
      <w:sdtEndPr/>
      <w:sdtContent>
        <w:p w14:paraId="749EDCA7" w14:textId="77777777" w:rsidR="00B45F77" w:rsidRDefault="00352ED0" w:rsidP="00D77036">
          <w:pPr>
            <w:widowControl w:val="0"/>
            <w:tabs>
              <w:tab w:val="right" w:leader="dot" w:pos="12000"/>
            </w:tabs>
            <w:spacing w:before="60" w:line="480" w:lineRule="auto"/>
            <w:jc w:val="both"/>
            <w:rPr>
              <w:sz w:val="26"/>
              <w:szCs w:val="26"/>
            </w:rPr>
          </w:pPr>
          <w:r>
            <w:fldChar w:fldCharType="begin"/>
          </w:r>
          <w:r>
            <w:instrText xml:space="preserve"> TOC \h \u \z \t "Heading 1,1,Heading 2,2,Heading 3,3,Heading 4,4,Heading 5,5,Heading 6,6,"</w:instrText>
          </w:r>
          <w:r>
            <w:fldChar w:fldCharType="separate"/>
          </w:r>
          <w:hyperlink w:anchor="_bahcndk05ze6">
            <w:r w:rsidR="00B45F77">
              <w:rPr>
                <w:sz w:val="26"/>
                <w:szCs w:val="26"/>
              </w:rPr>
              <w:t>Introduction</w:t>
            </w:r>
            <w:r w:rsidR="00B45F77">
              <w:rPr>
                <w:sz w:val="26"/>
                <w:szCs w:val="26"/>
              </w:rPr>
              <w:tab/>
              <w:t>1</w:t>
            </w:r>
          </w:hyperlink>
        </w:p>
        <w:p w14:paraId="749EDCA8" w14:textId="77777777" w:rsidR="00B45F77" w:rsidRDefault="00B45F77" w:rsidP="00D77036">
          <w:pPr>
            <w:widowControl w:val="0"/>
            <w:tabs>
              <w:tab w:val="right" w:leader="dot" w:pos="12000"/>
            </w:tabs>
            <w:spacing w:before="60" w:line="480" w:lineRule="auto"/>
            <w:jc w:val="both"/>
            <w:rPr>
              <w:sz w:val="26"/>
              <w:szCs w:val="26"/>
            </w:rPr>
          </w:pPr>
          <w:hyperlink w:anchor="_td46qwy8uegg">
            <w:r>
              <w:rPr>
                <w:sz w:val="26"/>
                <w:szCs w:val="26"/>
              </w:rPr>
              <w:t>Methodology</w:t>
            </w:r>
            <w:r>
              <w:rPr>
                <w:sz w:val="26"/>
                <w:szCs w:val="26"/>
              </w:rPr>
              <w:tab/>
              <w:t>2</w:t>
            </w:r>
          </w:hyperlink>
        </w:p>
        <w:p w14:paraId="749EDCA9" w14:textId="77777777" w:rsidR="00B45F77" w:rsidRDefault="00B45F77" w:rsidP="00D77036">
          <w:pPr>
            <w:widowControl w:val="0"/>
            <w:tabs>
              <w:tab w:val="right" w:leader="dot" w:pos="12000"/>
            </w:tabs>
            <w:spacing w:before="60" w:line="480" w:lineRule="auto"/>
            <w:jc w:val="both"/>
            <w:rPr>
              <w:sz w:val="26"/>
              <w:szCs w:val="26"/>
            </w:rPr>
          </w:pPr>
          <w:hyperlink w:anchor="_vf74g6ehtva6">
            <w:r>
              <w:rPr>
                <w:sz w:val="26"/>
                <w:szCs w:val="26"/>
              </w:rPr>
              <w:t>Who benefits from government EV incentives?</w:t>
            </w:r>
            <w:r>
              <w:rPr>
                <w:sz w:val="26"/>
                <w:szCs w:val="26"/>
              </w:rPr>
              <w:tab/>
              <w:t>3</w:t>
            </w:r>
          </w:hyperlink>
        </w:p>
        <w:p w14:paraId="749EDCAA" w14:textId="77777777" w:rsidR="00B45F77" w:rsidRDefault="00B45F77" w:rsidP="00D77036">
          <w:pPr>
            <w:widowControl w:val="0"/>
            <w:tabs>
              <w:tab w:val="right" w:leader="dot" w:pos="12000"/>
            </w:tabs>
            <w:spacing w:before="60" w:line="480" w:lineRule="auto"/>
            <w:jc w:val="both"/>
            <w:rPr>
              <w:sz w:val="26"/>
              <w:szCs w:val="26"/>
            </w:rPr>
          </w:pPr>
          <w:hyperlink w:anchor="_eu5gz296p3gi">
            <w:r>
              <w:rPr>
                <w:sz w:val="26"/>
                <w:szCs w:val="26"/>
              </w:rPr>
              <w:t>How does charging infrastructure affect the accessibility of EVs?</w:t>
            </w:r>
            <w:r>
              <w:rPr>
                <w:sz w:val="26"/>
                <w:szCs w:val="26"/>
              </w:rPr>
              <w:tab/>
              <w:t>6</w:t>
            </w:r>
          </w:hyperlink>
        </w:p>
        <w:p w14:paraId="749EDCAB" w14:textId="77777777" w:rsidR="00B45F77" w:rsidRDefault="00B45F77" w:rsidP="00D77036">
          <w:pPr>
            <w:widowControl w:val="0"/>
            <w:tabs>
              <w:tab w:val="right" w:leader="dot" w:pos="12000"/>
            </w:tabs>
            <w:spacing w:before="60" w:line="480" w:lineRule="auto"/>
            <w:jc w:val="both"/>
            <w:rPr>
              <w:sz w:val="26"/>
              <w:szCs w:val="26"/>
            </w:rPr>
          </w:pPr>
          <w:hyperlink w:anchor="_97jvek293baj">
            <w:r>
              <w:rPr>
                <w:sz w:val="26"/>
                <w:szCs w:val="26"/>
              </w:rPr>
              <w:t>Does everyone reap the environmental benefits of EVs?</w:t>
            </w:r>
            <w:r>
              <w:rPr>
                <w:sz w:val="26"/>
                <w:szCs w:val="26"/>
              </w:rPr>
              <w:tab/>
              <w:t>9</w:t>
            </w:r>
          </w:hyperlink>
        </w:p>
        <w:p w14:paraId="749EDCAC" w14:textId="77777777" w:rsidR="00B45F77" w:rsidRDefault="00B45F77" w:rsidP="00D77036">
          <w:pPr>
            <w:widowControl w:val="0"/>
            <w:tabs>
              <w:tab w:val="right" w:leader="dot" w:pos="12000"/>
            </w:tabs>
            <w:spacing w:before="60" w:line="480" w:lineRule="auto"/>
            <w:jc w:val="both"/>
            <w:rPr>
              <w:sz w:val="26"/>
              <w:szCs w:val="26"/>
            </w:rPr>
          </w:pPr>
          <w:hyperlink w:anchor="_1rhuc52yxmrm">
            <w:r>
              <w:rPr>
                <w:sz w:val="26"/>
                <w:szCs w:val="26"/>
              </w:rPr>
              <w:t>Conclusion</w:t>
            </w:r>
            <w:r>
              <w:rPr>
                <w:sz w:val="26"/>
                <w:szCs w:val="26"/>
              </w:rPr>
              <w:tab/>
              <w:t>10</w:t>
            </w:r>
          </w:hyperlink>
        </w:p>
        <w:p w14:paraId="749EDCAD" w14:textId="77777777" w:rsidR="00B45F77" w:rsidRDefault="00B45F77" w:rsidP="00D77036">
          <w:pPr>
            <w:widowControl w:val="0"/>
            <w:tabs>
              <w:tab w:val="right" w:leader="dot" w:pos="12000"/>
            </w:tabs>
            <w:spacing w:before="60" w:line="480" w:lineRule="auto"/>
            <w:jc w:val="both"/>
            <w:rPr>
              <w:sz w:val="26"/>
              <w:szCs w:val="26"/>
            </w:rPr>
          </w:pPr>
          <w:hyperlink w:anchor="_lyioe1prwduj">
            <w:r>
              <w:rPr>
                <w:sz w:val="26"/>
                <w:szCs w:val="26"/>
              </w:rPr>
              <w:t>Works Cited</w:t>
            </w:r>
            <w:r>
              <w:rPr>
                <w:sz w:val="26"/>
                <w:szCs w:val="26"/>
              </w:rPr>
              <w:tab/>
              <w:t>12</w:t>
            </w:r>
          </w:hyperlink>
          <w:r w:rsidR="00352ED0">
            <w:fldChar w:fldCharType="end"/>
          </w:r>
        </w:p>
      </w:sdtContent>
    </w:sdt>
    <w:p w14:paraId="749EDCAE" w14:textId="77777777" w:rsidR="00B45F77" w:rsidRDefault="00352ED0" w:rsidP="00D77036">
      <w:pPr>
        <w:pStyle w:val="Heading1"/>
        <w:jc w:val="both"/>
      </w:pPr>
      <w:bookmarkStart w:id="2" w:name="_mxun55qq7q7u" w:colFirst="0" w:colLast="0"/>
      <w:bookmarkEnd w:id="2"/>
      <w:r>
        <w:br w:type="page"/>
      </w:r>
    </w:p>
    <w:p w14:paraId="749EDCAF" w14:textId="77777777" w:rsidR="00D77036" w:rsidRDefault="00D77036" w:rsidP="00D77036">
      <w:pPr>
        <w:pStyle w:val="Heading1"/>
        <w:jc w:val="both"/>
        <w:sectPr w:rsidR="00D77036">
          <w:headerReference w:type="default" r:id="rId6"/>
          <w:footerReference w:type="default" r:id="rId7"/>
          <w:headerReference w:type="first" r:id="rId8"/>
          <w:pgSz w:w="12240" w:h="15840"/>
          <w:pgMar w:top="1440" w:right="1440" w:bottom="1440" w:left="1440" w:header="720" w:footer="720" w:gutter="0"/>
          <w:pgNumType w:start="1"/>
          <w:cols w:space="720"/>
          <w:titlePg/>
        </w:sectPr>
      </w:pPr>
      <w:bookmarkStart w:id="3" w:name="_bahcndk05ze6" w:colFirst="0" w:colLast="0"/>
      <w:bookmarkEnd w:id="3"/>
    </w:p>
    <w:p w14:paraId="749EDCB0" w14:textId="77777777" w:rsidR="00B45F77" w:rsidRDefault="00352ED0" w:rsidP="00D77036">
      <w:pPr>
        <w:pStyle w:val="Heading1"/>
        <w:jc w:val="both"/>
      </w:pPr>
      <w:r>
        <w:lastRenderedPageBreak/>
        <w:t>Introduction</w:t>
      </w:r>
    </w:p>
    <w:p w14:paraId="749EDCB1" w14:textId="77777777" w:rsidR="00B45F77" w:rsidRDefault="00352ED0" w:rsidP="00D77036">
      <w:pPr>
        <w:jc w:val="both"/>
      </w:pPr>
      <w:r>
        <w:t>2023 marks nearly two centuries since the invention of the first crude electric vehicle by Robert Anderson in 1832.</w:t>
      </w:r>
      <w:r>
        <w:rPr>
          <w:vertAlign w:val="superscript"/>
        </w:rPr>
        <w:footnoteReference w:id="1"/>
      </w:r>
      <w:r>
        <w:t xml:space="preserve"> In the time since, society has seen numerous revolutions in transportation, the latest of which is the emergence of practical electric vehicles (EVs) in the last decade. In the face of rampant climate change and worsening air quality, EVs represent a sustainable alternative to traditional Internal Combustion Engine (ICE) vehicles, touting claims of better efficiency, sustainability, and reliability. As a result of some of their apparent benefits over ICE vehicles, EVs have gained significant </w:t>
      </w:r>
      <w:proofErr w:type="gramStart"/>
      <w:r>
        <w:t>traction</w:t>
      </w:r>
      <w:proofErr w:type="gramEnd"/>
      <w:r>
        <w:t xml:space="preserve"> and their sales have grown exponentially within the last decade. This shift in consumer and commercial trends represents a crucial turning point for the way we transport ourselves, goods, and services. However, this same surge in popularity does a great job of highlighting the existing environmental and economic inequalities present in its most booming markets, and how new innovations in the form of EVs have the potential to worsen existing injustices. Currently, environmental and transportation inequaliti</w:t>
      </w:r>
      <w:r>
        <w:t xml:space="preserve">es manifest in a lack of equal access to things </w:t>
      </w:r>
      <w:r>
        <w:t xml:space="preserve">like clean air, charging infrastructure, and government incentives. EVs carry the unfortunate potential to perpetuate these inequalities if they remain unchecked and are adopted without consideration for potential disadvantages. The </w:t>
      </w:r>
      <w:proofErr w:type="gramStart"/>
      <w:r>
        <w:t>aforementioned lack</w:t>
      </w:r>
      <w:proofErr w:type="gramEnd"/>
      <w:r>
        <w:t xml:space="preserve"> of access to equal resources has the potential to culminate in an increased barrier to access to essential transportation services for many people in states with rapid EV adoption, leaving them in between emerging and waning forms of transportation. This issue is worthy of investigation as it is one that is underrepresented in current EV literature, with the dominant perspective of EVs being one of support and enthusiasm, as opposed to cautious optimism.</w:t>
      </w:r>
    </w:p>
    <w:p w14:paraId="749EDCB2" w14:textId="77777777" w:rsidR="00B45F77" w:rsidRDefault="00B45F77" w:rsidP="00D77036">
      <w:pPr>
        <w:jc w:val="both"/>
      </w:pPr>
    </w:p>
    <w:p w14:paraId="749EDCB3" w14:textId="77777777" w:rsidR="00B45F77" w:rsidRDefault="00352ED0" w:rsidP="00D77036">
      <w:pPr>
        <w:jc w:val="both"/>
      </w:pPr>
      <w:r>
        <w:t xml:space="preserve">My </w:t>
      </w:r>
      <w:proofErr w:type="gramStart"/>
      <w:r>
        <w:t>passion comes</w:t>
      </w:r>
      <w:proofErr w:type="gramEnd"/>
      <w:r>
        <w:t xml:space="preserve"> for this topic comes from multiple facets of my identity. As a car enthusiast and an aspiring automotive engineer, I carry a great passion for ICE vehicles- however, I understand that their role in the future looks very different than the status quo. I also take great interest in the bleeding edge of technology, especially EVs, which have boomed in popularity in front of my eyes. On top of that, having lived in the US for many years has revealed to me </w:t>
      </w:r>
      <w:r>
        <w:lastRenderedPageBreak/>
        <w:t>firsthand the dangers and inequalities present for BIPOC</w:t>
      </w:r>
      <w:r>
        <w:rPr>
          <w:vertAlign w:val="superscript"/>
        </w:rPr>
        <w:footnoteReference w:id="2"/>
      </w:r>
      <w:r>
        <w:t xml:space="preserve"> communities resulting from car-dependent infrastructure, which is particularly pervasive in nearly all parts of the North American continent. </w:t>
      </w:r>
    </w:p>
    <w:p w14:paraId="749EDCB4" w14:textId="77777777" w:rsidR="00B45F77" w:rsidRDefault="00B45F77" w:rsidP="00D77036">
      <w:pPr>
        <w:jc w:val="both"/>
      </w:pPr>
    </w:p>
    <w:p w14:paraId="749EDCB5" w14:textId="77777777" w:rsidR="00B45F77" w:rsidRDefault="00352ED0" w:rsidP="00D77036">
      <w:pPr>
        <w:pBdr>
          <w:top w:val="nil"/>
          <w:left w:val="nil"/>
          <w:bottom w:val="nil"/>
          <w:right w:val="nil"/>
          <w:between w:val="nil"/>
        </w:pBdr>
        <w:jc w:val="both"/>
        <w:rPr>
          <w:i/>
          <w:sz w:val="26"/>
          <w:szCs w:val="26"/>
        </w:rPr>
      </w:pPr>
      <w:r>
        <w:t xml:space="preserve">This essay seeks to answer the question: </w:t>
      </w:r>
      <w:r>
        <w:rPr>
          <w:i/>
        </w:rPr>
        <w:t xml:space="preserve">In what ways does the advancement of Electric Vehicle technology and infrastructure perpetuate existing environmental and economic injustices? </w:t>
      </w:r>
      <w:r>
        <w:t>In addressing this question, I will explore the topics of EV infrastructure, environmental justice, and government incentivization to examine how EV propagation interacts with existing environmental injustices to guide my analysis.</w:t>
      </w:r>
    </w:p>
    <w:p w14:paraId="749EDCB6" w14:textId="77777777" w:rsidR="00B45F77" w:rsidRDefault="00B45F77" w:rsidP="00D77036">
      <w:pPr>
        <w:jc w:val="both"/>
      </w:pPr>
    </w:p>
    <w:p w14:paraId="749EDCB7" w14:textId="77777777" w:rsidR="00B45F77" w:rsidRDefault="00B45F77" w:rsidP="00D77036">
      <w:pPr>
        <w:spacing w:line="240" w:lineRule="auto"/>
        <w:jc w:val="both"/>
        <w:rPr>
          <w:rFonts w:ascii="Arial" w:eastAsia="Arial" w:hAnsi="Arial" w:cs="Arial"/>
          <w:sz w:val="22"/>
          <w:szCs w:val="22"/>
        </w:rPr>
      </w:pPr>
    </w:p>
    <w:p w14:paraId="749EDCB8" w14:textId="77777777" w:rsidR="00B45F77" w:rsidRDefault="00352ED0" w:rsidP="00D77036">
      <w:pPr>
        <w:pStyle w:val="Heading1"/>
        <w:jc w:val="both"/>
      </w:pPr>
      <w:bookmarkStart w:id="4" w:name="_td46qwy8uegg" w:colFirst="0" w:colLast="0"/>
      <w:bookmarkEnd w:id="4"/>
      <w:r>
        <w:t>Methodology</w:t>
      </w:r>
    </w:p>
    <w:p w14:paraId="749EDCB9" w14:textId="77777777" w:rsidR="00B45F77" w:rsidRDefault="00352ED0" w:rsidP="00D77036">
      <w:pPr>
        <w:jc w:val="both"/>
      </w:pPr>
      <w:r>
        <w:t xml:space="preserve">This essay uses a myriad of secondary sources to analyze the impacts of EVs on existing environmental injustices. In the research process, I focused on papers that look at the social impacts of EVs and their subsequent infrastructure but also used a few scientific and economic sources that focus more on the environmental and fiscal impacts of EV adoption, rather than the social impacts. The diversity in the types of journals </w:t>
      </w:r>
      <w:r>
        <w:t>I accessed in order to research this topic allowed me to use sources that already outlined and analyzed EV adoption through an environmental justice lens—which are few, far between, and not easily accessible—but also to fill in missing gaps with economic and statistical data to better understand and develop my arguments where it could not be accounted for solely through the use of social impact analysis papers.</w:t>
      </w:r>
    </w:p>
    <w:p w14:paraId="749EDCBA" w14:textId="77777777" w:rsidR="00B45F77" w:rsidRDefault="00B45F77" w:rsidP="00D77036">
      <w:pPr>
        <w:jc w:val="both"/>
      </w:pPr>
    </w:p>
    <w:p w14:paraId="749EDCBB" w14:textId="77777777" w:rsidR="00B45F77" w:rsidRDefault="00352ED0" w:rsidP="00D77036">
      <w:pPr>
        <w:jc w:val="both"/>
      </w:pPr>
      <w:r>
        <w:t xml:space="preserve">In analyzing the </w:t>
      </w:r>
      <w:proofErr w:type="gramStart"/>
      <w:r>
        <w:t>aforementioned secondary</w:t>
      </w:r>
      <w:proofErr w:type="gramEnd"/>
      <w:r>
        <w:t xml:space="preserve"> sources, I opted to use various existing frameworks, the first of which is Environmental Justice (EJ). EJ is defined by Robert Bullard—often described as the ‘father of environmental justice’—as “the fair treatment and meaningful involvement of all people regardless of race, color, national origin or income with respect to the development, implementation and enforcement of environmental laws, regulations and policies” Bullard’s work provides a framework that facilitates the use of “an ‘effect’ test, as opp</w:t>
      </w:r>
      <w:r>
        <w:t>osed to ‘intent’, to infer discrimination.”</w:t>
      </w:r>
      <w:r>
        <w:rPr>
          <w:vertAlign w:val="superscript"/>
        </w:rPr>
        <w:footnoteReference w:id="3"/>
      </w:r>
      <w:r>
        <w:t xml:space="preserve"> His work suggests that environmental injustices exist independently of malicious intent, and should instead be visualized through their impacts on </w:t>
      </w:r>
      <w:r>
        <w:lastRenderedPageBreak/>
        <w:t>populations. Along with the lens of EJ, the following course concepts—as outlined in the course guide—will guide the analysis of issues. Sustainable development is a concept that combines two course concepts: sustainability, and development. This paper understands that the inclusion of the word ‘sustainability’ imposes concepts of equality, longevity, and environmental considerations onto development, which is a sustained increase in standard of living and well-being.</w:t>
      </w:r>
      <w:r>
        <w:rPr>
          <w:vertAlign w:val="superscript"/>
        </w:rPr>
        <w:footnoteReference w:id="4"/>
      </w:r>
      <w:r>
        <w:t xml:space="preserve"> Specifically, I considered well-being indicators such as air quality and how they contribute to development outcomes. Along with sustainable development, this paper also examines the same issues through the lens of structural violence, and specifically how existing economic and environmental injustices are a result of institutions and structures. Structural violence stems from social structures that perpetuate oppression. It causes harm not through the direct physical actions of an individual; but rather t</w:t>
      </w:r>
      <w:r>
        <w:t>hrough the systems and structures in place in society. Racism—when embedded into social systems—is often one of the causes of structural violence.</w:t>
      </w:r>
      <w:r>
        <w:rPr>
          <w:vertAlign w:val="superscript"/>
        </w:rPr>
        <w:footnoteReference w:id="5"/>
      </w:r>
      <w:r>
        <w:t xml:space="preserve"> A structural violence lens facilitates the understanding that injustices are often </w:t>
      </w:r>
      <w:r>
        <w:rPr>
          <w:i/>
        </w:rPr>
        <w:t>caused</w:t>
      </w:r>
      <w:r>
        <w:t xml:space="preserve"> by structural </w:t>
      </w:r>
      <w:r>
        <w:t xml:space="preserve">violence but </w:t>
      </w:r>
      <w:r>
        <w:rPr>
          <w:i/>
        </w:rPr>
        <w:t>perpetuated</w:t>
      </w:r>
      <w:r>
        <w:t xml:space="preserve"> by the emerging technology of EVs.</w:t>
      </w:r>
    </w:p>
    <w:p w14:paraId="749EDCBC" w14:textId="77777777" w:rsidR="00B45F77" w:rsidRDefault="00B45F77" w:rsidP="00D77036">
      <w:pPr>
        <w:jc w:val="both"/>
      </w:pPr>
    </w:p>
    <w:p w14:paraId="749EDCBD" w14:textId="77777777" w:rsidR="00B45F77" w:rsidRDefault="00352ED0" w:rsidP="00D77036">
      <w:pPr>
        <w:jc w:val="both"/>
        <w:rPr>
          <w:rFonts w:ascii="Arial" w:eastAsia="Arial" w:hAnsi="Arial" w:cs="Arial"/>
        </w:rPr>
      </w:pPr>
      <w:r>
        <w:t>It is also important to acknowledge the limitations of the secondary research I have conducted, both those that are inherent to secondary research and specific to the field of research surrounding EVs and their subsequent infrastructure. EV technology and the subsequent body of work available on its social impacts are in their infancy, because, as mentioned earlier, their uptake has only seen a sharp increase within the last decade. This means that it is hard to find meaningful and consistent sources to fac</w:t>
      </w:r>
      <w:r>
        <w:t>ilitate comparisons at the global and international levels of analysis. As a result, I decided to limit my scope to western, global north nations, more specifically the US and Canada, making this paper one that looks solely at the international and regional levels of analysis. Acknowledging the above necessitates recognizing that it inherently limits my paper and its potential to be extrapolated to be applied on a global scale. EVs are simply too new and contemporary to be adequately generalized and researc</w:t>
      </w:r>
      <w:r>
        <w:t>hed through only secondary sources within the scope of the format of this Extended Essay.</w:t>
      </w:r>
    </w:p>
    <w:p w14:paraId="749EDCBE" w14:textId="77777777" w:rsidR="00B45F77" w:rsidRDefault="00B45F77" w:rsidP="00D77036">
      <w:pPr>
        <w:pStyle w:val="Heading1"/>
        <w:jc w:val="both"/>
      </w:pPr>
      <w:bookmarkStart w:id="5" w:name="_o027v2fqnr30" w:colFirst="0" w:colLast="0"/>
      <w:bookmarkEnd w:id="5"/>
    </w:p>
    <w:p w14:paraId="749EDCBF" w14:textId="77777777" w:rsidR="00B45F77" w:rsidRDefault="00352ED0" w:rsidP="00D77036">
      <w:pPr>
        <w:pStyle w:val="Heading1"/>
        <w:jc w:val="both"/>
      </w:pPr>
      <w:bookmarkStart w:id="6" w:name="_vf74g6ehtva6" w:colFirst="0" w:colLast="0"/>
      <w:bookmarkEnd w:id="6"/>
      <w:r>
        <w:t>Who benefits from government EV incentives?</w:t>
      </w:r>
    </w:p>
    <w:p w14:paraId="749EDCC0" w14:textId="77777777" w:rsidR="00B45F77" w:rsidRDefault="00352ED0" w:rsidP="00D77036">
      <w:pPr>
        <w:jc w:val="both"/>
      </w:pPr>
      <w:r>
        <w:t>First, it is important to recognize the evident link between class, income, and race. Deirdre Bloome, professor of public policy at Harvard University remarks that “it cannot be overstated the degree to which class and race issues overlap in environmental justice—much of environmental racism is perpetuated by disproportionate exposure to risks based on socioeconomic class, which is inherently partially race-based given the myriad of ways in which institutional racism allocates economic and political power t</w:t>
      </w:r>
      <w:r>
        <w:t>o white communities.”</w:t>
      </w:r>
      <w:r>
        <w:rPr>
          <w:vertAlign w:val="superscript"/>
        </w:rPr>
        <w:footnoteReference w:id="6"/>
      </w:r>
      <w:r>
        <w:t xml:space="preserve"> Additionally, it is important to remember that, as previously mentioned, “it is largely agreed upon by scholars that malicious intent is not a condition for environmental racism to exist.”</w:t>
      </w:r>
      <w:r>
        <w:rPr>
          <w:vertAlign w:val="superscript"/>
        </w:rPr>
        <w:footnoteReference w:id="7"/>
      </w:r>
      <w:r>
        <w:t xml:space="preserve"> </w:t>
      </w:r>
    </w:p>
    <w:p w14:paraId="749EDCC1" w14:textId="77777777" w:rsidR="00B45F77" w:rsidRDefault="00B45F77" w:rsidP="00D77036">
      <w:pPr>
        <w:jc w:val="both"/>
      </w:pPr>
    </w:p>
    <w:p w14:paraId="749EDCC2" w14:textId="77777777" w:rsidR="00B45F77" w:rsidRDefault="00352ED0" w:rsidP="00D77036">
      <w:pPr>
        <w:jc w:val="both"/>
      </w:pPr>
      <w:r>
        <w:t xml:space="preserve">Adding to the previous point of overlap between class, income, and race, is the severity of existing environmental injustices. While it is not the focus of this paper, Robert Bullard summarized the prevalence of environmental injustice in his 1993 paper, stating that “no segment of American society should have a monopoly on a clean </w:t>
      </w:r>
      <w:r>
        <w:t>environment. Nevertheless, some communities are forced to bear the brunt of this nation's pollution problem. Industrial toxins, polluted air and drinking water, and the siting of municipal landfills, lead smelters, incinerators, and hazardous waste facilities have had a disproportionate impact upon people of color, working-class communities, and the poor.”</w:t>
      </w:r>
      <w:r>
        <w:rPr>
          <w:vertAlign w:val="superscript"/>
        </w:rPr>
        <w:footnoteReference w:id="8"/>
      </w:r>
    </w:p>
    <w:p w14:paraId="749EDCC3" w14:textId="77777777" w:rsidR="00B45F77" w:rsidRDefault="00B45F77" w:rsidP="00D77036">
      <w:pPr>
        <w:jc w:val="both"/>
      </w:pPr>
    </w:p>
    <w:p w14:paraId="749EDCC4" w14:textId="77777777" w:rsidR="00B45F77" w:rsidRDefault="00352ED0" w:rsidP="00D77036">
      <w:pPr>
        <w:jc w:val="both"/>
      </w:pPr>
      <w:r>
        <w:t xml:space="preserve">One of the main value propositions of EVs—both in the consumer and commercial sectors—is their ability to help achieve the goal of increased sustainability through a variety of means, to combat climate change. The main indicator of this increased sustainability is lower carbon emissions, which can be seen through cleaner air in the regions in which they operate. There is no question that EVs have been successful at achieving this goal. In </w:t>
      </w:r>
      <w:proofErr w:type="spellStart"/>
      <w:r>
        <w:t>CarbonBrief’s</w:t>
      </w:r>
      <w:proofErr w:type="spellEnd"/>
      <w:r>
        <w:t xml:space="preserve"> 2019 fact check on EVs, Zeke </w:t>
      </w:r>
      <w:proofErr w:type="spellStart"/>
      <w:r>
        <w:t>Hausfather</w:t>
      </w:r>
      <w:proofErr w:type="spellEnd"/>
      <w:r>
        <w:t xml:space="preserve"> outlines how “EVs are responsible for considerably lower emissions over their lifetime than [ICE] vehicles.”</w:t>
      </w:r>
      <w:r>
        <w:rPr>
          <w:vertAlign w:val="superscript"/>
        </w:rPr>
        <w:footnoteReference w:id="9"/>
      </w:r>
    </w:p>
    <w:p w14:paraId="749EDCC5" w14:textId="77777777" w:rsidR="00B45F77" w:rsidRDefault="00B45F77" w:rsidP="00D77036">
      <w:pPr>
        <w:jc w:val="both"/>
      </w:pPr>
    </w:p>
    <w:p w14:paraId="749EDCC6" w14:textId="77777777" w:rsidR="00B45F77" w:rsidRDefault="00352ED0" w:rsidP="00D77036">
      <w:pPr>
        <w:jc w:val="both"/>
      </w:pPr>
      <w:r>
        <w:t xml:space="preserve">However, as we look deeper into the more nuanced ways that EVs interact with a population, we start to uncover how they </w:t>
      </w:r>
      <w:r>
        <w:lastRenderedPageBreak/>
        <w:t xml:space="preserve">contribute to existing environmental injustices. According to environmental science writer John Carey, “The benefits [of EVs] are clear, but the caveats will require attention from scientists, engineers, and policymakers.” In that same vein, Daniel Horton, leader of the Climate Change Research Group at Northwestern University </w:t>
      </w:r>
      <w:proofErr w:type="gramStart"/>
      <w:r>
        <w:t>says</w:t>
      </w:r>
      <w:proofErr w:type="gramEnd"/>
      <w:r>
        <w:t xml:space="preserve"> “We are moving headlong into a world of electrified transport, but some of the implications of this move remain unresolved.”</w:t>
      </w:r>
      <w:r>
        <w:rPr>
          <w:vertAlign w:val="superscript"/>
        </w:rPr>
        <w:footnoteReference w:id="10"/>
      </w:r>
    </w:p>
    <w:p w14:paraId="749EDCC7" w14:textId="77777777" w:rsidR="00B45F77" w:rsidRDefault="00B45F77" w:rsidP="00D77036">
      <w:pPr>
        <w:jc w:val="both"/>
      </w:pPr>
    </w:p>
    <w:p w14:paraId="749EDCC8" w14:textId="77777777" w:rsidR="00B45F77" w:rsidRDefault="00352ED0" w:rsidP="00D77036">
      <w:pPr>
        <w:jc w:val="both"/>
      </w:pPr>
      <w:r>
        <w:t>One of the ways in which EVs have the potential to exacerbate inequalities is through government schemes incentivizing EV uptake. Government incentives have been introduced in various parts of the US and Canada in the form(s) of access to carpool or EV-only lanes, providing blanket monetary subsidies at the point of sale, and also—in some cases—providing rebates for installing charging infrastructure at homes and businesses.</w:t>
      </w:r>
      <w:r>
        <w:rPr>
          <w:vertAlign w:val="superscript"/>
        </w:rPr>
        <w:footnoteReference w:id="11"/>
      </w:r>
      <w:r>
        <w:t xml:space="preserve"> These subsidies can be seen as effective in incentivizing the growth in sales and adoption of Electric Vehicles. Since their widespread adoption in North America, sales, and fleet integration have increased </w:t>
      </w:r>
      <w:r>
        <w:t>exponentially. An illustrative example of such a program is the Canadian government’s CA$</w:t>
      </w:r>
      <w:r>
        <w:rPr>
          <w:vertAlign w:val="superscript"/>
        </w:rPr>
        <w:footnoteReference w:id="12"/>
      </w:r>
      <w:r>
        <w:t xml:space="preserve"> 300 million </w:t>
      </w:r>
      <w:proofErr w:type="gramStart"/>
      <w:r>
        <w:t>contribution</w:t>
      </w:r>
      <w:proofErr w:type="gramEnd"/>
      <w:r>
        <w:t xml:space="preserve"> to all the above forms of incentives and rebates on a first-come, first-served basis between 2019 and 2022.</w:t>
      </w:r>
      <w:r>
        <w:rPr>
          <w:vertAlign w:val="superscript"/>
        </w:rPr>
        <w:footnoteReference w:id="13"/>
      </w:r>
    </w:p>
    <w:p w14:paraId="749EDCC9" w14:textId="77777777" w:rsidR="00B45F77" w:rsidRDefault="00B45F77" w:rsidP="00D77036">
      <w:pPr>
        <w:jc w:val="both"/>
        <w:rPr>
          <w:rFonts w:ascii="Arial" w:eastAsia="Arial" w:hAnsi="Arial" w:cs="Arial"/>
          <w:sz w:val="22"/>
          <w:szCs w:val="22"/>
          <w:highlight w:val="green"/>
        </w:rPr>
      </w:pPr>
    </w:p>
    <w:p w14:paraId="749EDCCA" w14:textId="77777777" w:rsidR="00B45F77" w:rsidRDefault="00352ED0" w:rsidP="00D77036">
      <w:pPr>
        <w:jc w:val="both"/>
      </w:pPr>
      <w:r>
        <w:t>However, taking a deeper look into the progress achieved through economic incentives is important to understand who these programs have benefited the most, and the existing inequities perpetuated by these incentives. In the status quo, there exist violent structures and institutions that disproportionately disadvantage BIPOC communities in North America. “As a result [of the exploitation and occupational segregation of people of color], stark and persistent racial disparities exist in jobs, wages, benefits,</w:t>
      </w:r>
      <w:r>
        <w:t xml:space="preserve"> and almost every other measure of economic well-being.”</w:t>
      </w:r>
      <w:r>
        <w:rPr>
          <w:vertAlign w:val="superscript"/>
        </w:rPr>
        <w:footnoteReference w:id="14"/>
      </w:r>
      <w:r>
        <w:t xml:space="preserve"> </w:t>
      </w:r>
    </w:p>
    <w:p w14:paraId="749EDCCB" w14:textId="77777777" w:rsidR="00B45F77" w:rsidRDefault="00B45F77" w:rsidP="00D77036">
      <w:pPr>
        <w:jc w:val="both"/>
      </w:pPr>
    </w:p>
    <w:p w14:paraId="749EDCCC" w14:textId="77777777" w:rsidR="00B45F77" w:rsidRDefault="00352ED0" w:rsidP="00D77036">
      <w:pPr>
        <w:jc w:val="both"/>
      </w:pPr>
      <w:r>
        <w:t xml:space="preserve">Even though such incentive programs can be seen as successful in incentivizing growth in sales of EVs, there is a documented and disproportionate allocation of economic benefits achieved by such programs. In their current state, North American point-of-sale </w:t>
      </w:r>
      <w:r>
        <w:lastRenderedPageBreak/>
        <w:t>incentives can be seen as benefiting people who need them the least. Researchers at NBER</w:t>
      </w:r>
      <w:r>
        <w:rPr>
          <w:vertAlign w:val="superscript"/>
        </w:rPr>
        <w:footnoteReference w:id="15"/>
      </w:r>
      <w:r>
        <w:t xml:space="preserve"> found that “70% of beneficiaries from government [point-of-sale EV] incentive programs would have bought an EV regardless of whether or not they had received that incentive.”</w:t>
      </w:r>
      <w:r>
        <w:rPr>
          <w:vertAlign w:val="superscript"/>
        </w:rPr>
        <w:footnoteReference w:id="16"/>
      </w:r>
      <w:r>
        <w:t xml:space="preserve"> Along with that, the Pacific Research Institute found that in 2014, 79% of electric vehicle tax credits went to households making over $100,000, while 99% of them went to households making at least $50,000.</w:t>
      </w:r>
      <w:r>
        <w:rPr>
          <w:vertAlign w:val="superscript"/>
        </w:rPr>
        <w:footnoteReference w:id="17"/>
      </w:r>
      <w:r>
        <w:t xml:space="preserve"> The aforementioned incentives serve to make it easier for people who would have already purchased an EV to acquire one. While this can be seen as a form of incentivization and economic growth from a purely fiscal frame of reference, it excludes crucial populations from the group of EV adopters. Not only does this serve as one of the myriad ways the alarming racial wealth gap continues to be exacerbated, </w:t>
      </w:r>
      <w:proofErr w:type="gramStart"/>
      <w:r>
        <w:t>it</w:t>
      </w:r>
      <w:proofErr w:type="gramEnd"/>
      <w:r>
        <w:t xml:space="preserve"> foreshadows the potential ways in which the private sector will choose to serve its communities, based on which demographics it can profit from the most.</w:t>
      </w:r>
    </w:p>
    <w:p w14:paraId="749EDCCD" w14:textId="77777777" w:rsidR="00B45F77" w:rsidRDefault="00B45F77" w:rsidP="00D77036">
      <w:pPr>
        <w:jc w:val="both"/>
      </w:pPr>
    </w:p>
    <w:p w14:paraId="749EDCCE" w14:textId="77777777" w:rsidR="00B45F77" w:rsidRDefault="00352ED0" w:rsidP="00D77036">
      <w:pPr>
        <w:jc w:val="both"/>
      </w:pPr>
      <w:r>
        <w:t xml:space="preserve">Along with economic considerations, the disparate uptake of EVs also has </w:t>
      </w:r>
      <w:r>
        <w:t xml:space="preserve">environmental implications. As EVs have been shown to increase air </w:t>
      </w:r>
      <w:proofErr w:type="gramStart"/>
      <w:r>
        <w:t>quality—a</w:t>
      </w:r>
      <w:proofErr w:type="gramEnd"/>
      <w:r>
        <w:t xml:space="preserve"> well-being indicator—in the regions in which they operate, a disproportionate uptake in EVs can foreseeably expand the gap in access to clean air that already exists for poorer, BIPOC communities. “Of the $151 million in subsidies paid since 2010 [in California] people who bought zero-emissions vehicles in the Bay Area, South Coast, and San Diego air basis have gotten $132 million. Over the same period, people in the San Joaquin Valley have gotten $3 million, despite having the most intractable air quality</w:t>
      </w:r>
      <w:r>
        <w:t xml:space="preserve"> problems in the state.”</w:t>
      </w:r>
      <w:r>
        <w:rPr>
          <w:vertAlign w:val="superscript"/>
        </w:rPr>
        <w:footnoteReference w:id="18"/>
      </w:r>
      <w:r>
        <w:t xml:space="preserve"> This statistic, along with the previously outlined demographics displays the evident inconsistencies in the distribution of economic benefits from subsidies. Whether or not one agrees with the effectiveness of these subsidies in accelerating the adoption of clean technologies, according to economist Julianne Malveux, it is indisputable that these blanket subsidies “exacerbate the already alarming racial wealth gap.”</w:t>
      </w:r>
      <w:r>
        <w:rPr>
          <w:vertAlign w:val="superscript"/>
        </w:rPr>
        <w:footnoteReference w:id="19"/>
      </w:r>
    </w:p>
    <w:p w14:paraId="749EDCCF" w14:textId="77777777" w:rsidR="00B45F77" w:rsidRDefault="00B45F77" w:rsidP="00D77036">
      <w:pPr>
        <w:ind w:left="720"/>
        <w:jc w:val="both"/>
        <w:rPr>
          <w:rFonts w:ascii="Arial" w:eastAsia="Arial" w:hAnsi="Arial" w:cs="Arial"/>
          <w:sz w:val="22"/>
          <w:szCs w:val="22"/>
        </w:rPr>
      </w:pPr>
    </w:p>
    <w:p w14:paraId="749EDCD0" w14:textId="77777777" w:rsidR="00B45F77" w:rsidRDefault="00352ED0" w:rsidP="00D77036">
      <w:pPr>
        <w:pStyle w:val="Heading1"/>
        <w:jc w:val="both"/>
      </w:pPr>
      <w:bookmarkStart w:id="7" w:name="_eu5gz296p3gi" w:colFirst="0" w:colLast="0"/>
      <w:bookmarkEnd w:id="7"/>
      <w:r>
        <w:lastRenderedPageBreak/>
        <w:t>How does charging infrastructure affect the accessibility of EVs?</w:t>
      </w:r>
    </w:p>
    <w:p w14:paraId="749EDCD1" w14:textId="77777777" w:rsidR="00B45F77" w:rsidRDefault="00352ED0" w:rsidP="00D77036">
      <w:pPr>
        <w:jc w:val="both"/>
      </w:pPr>
      <w:r>
        <w:t xml:space="preserve">Along with the increase in sales and adoption of EVs, another crucial part of the equation to more sustainable transportation is supporting EVs with the infrastructure they require to operate effectively, specifically, EV charging stations. To understand the necessity for adequate charging infrastructure, and the economic challenges that come with its implementation, a brief explanation of the ‘chicken-and-egg’ phenomenon/dilemma is required. The </w:t>
      </w:r>
      <w:proofErr w:type="gramStart"/>
      <w:r>
        <w:t>aforementioned phenomenon</w:t>
      </w:r>
      <w:proofErr w:type="gramEnd"/>
      <w:r>
        <w:t xml:space="preserve"> refers to the cycle of poor availability of charging, which in turn hampers the adoption of EVs. Low adoption of EVs, in turn, restricts the expansion of charging infrastructure, becoming a self-perpetuating cycle of sorts, working against the ubiquitination of EVs.</w:t>
      </w:r>
      <w:r>
        <w:rPr>
          <w:vertAlign w:val="superscript"/>
        </w:rPr>
        <w:footnoteReference w:id="20"/>
      </w:r>
      <w:r>
        <w:t xml:space="preserve"> The economic implication of the aforementioned dilemma is that private stakeholders seeking ROI</w:t>
      </w:r>
      <w:r>
        <w:rPr>
          <w:vertAlign w:val="superscript"/>
        </w:rPr>
        <w:footnoteReference w:id="21"/>
      </w:r>
      <w:r>
        <w:t xml:space="preserve"> from their investment will seek to invest in regions with high EV uptake, which—as shown by recent literature, and the previous section—are predominantly white and wealthy.</w:t>
      </w:r>
      <w:r>
        <w:rPr>
          <w:vertAlign w:val="superscript"/>
        </w:rPr>
        <w:footnoteReference w:id="22"/>
      </w:r>
      <w:r>
        <w:t xml:space="preserve"> This paradox propagates further as BIPOC communities are underserved with adequate charging infrastructure to motivate EV sales.</w:t>
      </w:r>
    </w:p>
    <w:p w14:paraId="749EDCD2" w14:textId="77777777" w:rsidR="00B45F77" w:rsidRDefault="00B45F77" w:rsidP="00D77036">
      <w:pPr>
        <w:jc w:val="both"/>
      </w:pPr>
    </w:p>
    <w:p w14:paraId="749EDCD3" w14:textId="77777777" w:rsidR="00B45F77" w:rsidRDefault="00352ED0" w:rsidP="00D77036">
      <w:pPr>
        <w:jc w:val="both"/>
      </w:pPr>
      <w:r>
        <w:t>Therefore, there is a necessity for a proportionate increase in charging infrastructure with EV sales to ensure that all buyers are equitably supported with charging infrastructure to guarantee sustained access to this crucial piece of 21st-century infrastructure. In 2019, the Canadian government announced a CA$ 130 million subsidy program to spark investment in EV charging infrastructure projects until 2024 in order to deploy a charging network “where Canadians live, work, and play.”</w:t>
      </w:r>
      <w:r>
        <w:rPr>
          <w:vertAlign w:val="superscript"/>
        </w:rPr>
        <w:footnoteReference w:id="23"/>
      </w:r>
      <w:r>
        <w:t xml:space="preserve"> These subsidies come with the caveat of funding only up to 50% of private infrastructure projects with a cap of CA$ 5 million per project. While this scheme was implemented with the intention of becoming a tool to incentivize private investment into charging infrastructure, it comes with some inadvertent drawbacks. </w:t>
      </w:r>
    </w:p>
    <w:p w14:paraId="749EDCD4" w14:textId="77777777" w:rsidR="00B45F77" w:rsidRDefault="00B45F77" w:rsidP="00D77036">
      <w:pPr>
        <w:jc w:val="both"/>
      </w:pPr>
    </w:p>
    <w:p w14:paraId="749EDCD5" w14:textId="77777777" w:rsidR="00B45F77" w:rsidRDefault="00352ED0" w:rsidP="00D77036">
      <w:pPr>
        <w:jc w:val="both"/>
      </w:pPr>
      <w:r>
        <w:t xml:space="preserve">The current body of research available on EV uptake patterns and demographics is in its infancy, and this lack of available data influences the regions in which infrastructure projects are pursued. As outlined by Emma Hopkins, sustainable-transport researcher at Cardiff University, current literature </w:t>
      </w:r>
      <w:r>
        <w:lastRenderedPageBreak/>
        <w:t>surrounding EV charging infrastructure view it as an optimization issue, focusing on achieving “maximum profit/amount of ‘vehicle miles being electrified’.”</w:t>
      </w:r>
      <w:r>
        <w:rPr>
          <w:vertAlign w:val="superscript"/>
        </w:rPr>
        <w:footnoteReference w:id="24"/>
      </w:r>
      <w:r>
        <w:t xml:space="preserve"> Such studies neglect considerations for equitable uptake of EVs and the implementation of infrastructure projects following the current ‘optimization’ approach has the potential to magnify existing inequities</w:t>
      </w:r>
      <w:r>
        <w:rPr>
          <w:vertAlign w:val="superscript"/>
        </w:rPr>
        <w:footnoteReference w:id="25"/>
      </w:r>
      <w:r>
        <w:t xml:space="preserve"> and cause harm to BIPOC communities. As outlined in the course guide for Global Politics, the compatibility of economic growth and sustainable development is debated at all levels of politics.</w:t>
      </w:r>
      <w:r>
        <w:rPr>
          <w:vertAlign w:val="superscript"/>
        </w:rPr>
        <w:footnoteReference w:id="26"/>
      </w:r>
      <w:r>
        <w:t xml:space="preserve"> The aforementioned disparate body of work serves as an apt example of this incompatibility, highlighting the compromises made to equity when optimization is favored, and vice-versa.</w:t>
      </w:r>
    </w:p>
    <w:p w14:paraId="749EDCD6" w14:textId="77777777" w:rsidR="00B45F77" w:rsidRDefault="00B45F77" w:rsidP="00D77036">
      <w:pPr>
        <w:jc w:val="both"/>
        <w:rPr>
          <w:rFonts w:ascii="Arial" w:eastAsia="Arial" w:hAnsi="Arial" w:cs="Arial"/>
          <w:sz w:val="22"/>
          <w:szCs w:val="22"/>
        </w:rPr>
      </w:pPr>
    </w:p>
    <w:p w14:paraId="749EDCD7" w14:textId="77777777" w:rsidR="00B45F77" w:rsidRDefault="00352ED0" w:rsidP="00D77036">
      <w:pPr>
        <w:jc w:val="both"/>
      </w:pPr>
      <w:r>
        <w:t xml:space="preserve">As of 2023, the </w:t>
      </w:r>
      <w:proofErr w:type="gramStart"/>
      <w:r>
        <w:t>aforementioned program</w:t>
      </w:r>
      <w:proofErr w:type="gramEnd"/>
      <w:r>
        <w:t xml:space="preserve"> has already contributed to enabling a smooth and appealing transition from ICE vehicles with their ubiquitous infrastructure to EVs and their emerging infrastructure,</w:t>
      </w:r>
      <w:r>
        <w:rPr>
          <w:vertAlign w:val="superscript"/>
        </w:rPr>
        <w:footnoteReference w:id="27"/>
      </w:r>
      <w:r>
        <w:t xml:space="preserve"> albeit in whiter and wealthier regions, largely due to existing environmental injustices. However, it is worth acknowledging that BIPOC communities are often less economically </w:t>
      </w:r>
      <w:r>
        <w:t xml:space="preserve">privileged and have overall lower median household incomes, further inhibited by the previously outlined inequity in access to government incentives. This means that many Canadian and American BIPOC members/households will likely have a delayed uptake of EVs, and ‘miss the boat’ for many government-backed EV charging projects, such as the </w:t>
      </w:r>
      <w:proofErr w:type="gramStart"/>
      <w:r>
        <w:t>aforementioned Canadian</w:t>
      </w:r>
      <w:proofErr w:type="gramEnd"/>
      <w:r>
        <w:t xml:space="preserve"> program that expires in 2024. While there are likely to be more incentive programs in the future, this example helps us to identify the potential pitfalls of having to rely on the private sector for EV infrastructure.</w:t>
      </w:r>
    </w:p>
    <w:p w14:paraId="749EDCD8" w14:textId="77777777" w:rsidR="00B45F77" w:rsidRDefault="00B45F77" w:rsidP="00D77036">
      <w:pPr>
        <w:jc w:val="both"/>
        <w:rPr>
          <w:rFonts w:ascii="Arial" w:eastAsia="Arial" w:hAnsi="Arial" w:cs="Arial"/>
          <w:sz w:val="22"/>
          <w:szCs w:val="22"/>
        </w:rPr>
      </w:pPr>
    </w:p>
    <w:p w14:paraId="749EDCD9" w14:textId="77777777" w:rsidR="00B45F77" w:rsidRDefault="00352ED0" w:rsidP="00D77036">
      <w:pPr>
        <w:jc w:val="both"/>
      </w:pPr>
      <w:r>
        <w:t>According to a 2019 study carried out in the US state of Virginia,</w:t>
      </w:r>
      <w:r>
        <w:rPr>
          <w:vertAlign w:val="superscript"/>
        </w:rPr>
        <w:footnoteReference w:id="28"/>
      </w:r>
      <w:r>
        <w:t xml:space="preserve"> Asian, Black, Hispanic, and Native American buyers made up only 12.3% of EV sales combined, as opposed to 78.6% of EVs sold to white buyers. This disproportionately low level of ownership among African American and Hispanic residents holds true even after controlling for income.</w:t>
      </w:r>
      <w:r>
        <w:rPr>
          <w:vertAlign w:val="superscript"/>
        </w:rPr>
        <w:footnoteReference w:id="29"/>
      </w:r>
      <w:r>
        <w:t xml:space="preserve"> On top of the starkly disparate racial demographics, the largest portion of EV buyers fell into the category with a household income of over </w:t>
      </w:r>
      <w:r>
        <w:lastRenderedPageBreak/>
        <w:t>$200,000, falling into the top decile of household incomes in the US.</w:t>
      </w:r>
      <w:r>
        <w:rPr>
          <w:vertAlign w:val="superscript"/>
        </w:rPr>
        <w:footnoteReference w:id="30"/>
      </w:r>
      <w:r>
        <w:t xml:space="preserve"> Additionally, with the median household income in the USA being around $71,000,</w:t>
      </w:r>
      <w:r>
        <w:rPr>
          <w:vertAlign w:val="superscript"/>
        </w:rPr>
        <w:footnoteReference w:id="31"/>
      </w:r>
      <w:r>
        <w:t xml:space="preserve"> households earning the median wage only account for 3.7% of EV sales in the state of Virginia. </w:t>
      </w:r>
    </w:p>
    <w:p w14:paraId="749EDCDA" w14:textId="77777777" w:rsidR="00B45F77" w:rsidRDefault="00B45F77" w:rsidP="00D77036">
      <w:pPr>
        <w:jc w:val="both"/>
      </w:pPr>
    </w:p>
    <w:p w14:paraId="749EDCDB" w14:textId="77777777" w:rsidR="00B45F77" w:rsidRDefault="00352ED0" w:rsidP="00D77036">
      <w:pPr>
        <w:jc w:val="both"/>
      </w:pPr>
      <w:r>
        <w:t>In 2023, we are already nearing the end of the aforementioned subsidy campaign and it is evident that widespread adoption of EVs in BIPOC communities within North America will likely only occur in the upcoming 5-10 years.</w:t>
      </w:r>
      <w:r>
        <w:rPr>
          <w:vertAlign w:val="superscript"/>
        </w:rPr>
        <w:footnoteReference w:id="32"/>
      </w:r>
      <w:r>
        <w:t xml:space="preserve"> This delay in EV uptake makes it so that upon the inevitable widespread adoption of EVs among BIPOC communities, they will likely be underserved by government-backed infrastructure supporting EVs, which will only further de-incentivize adoption. Upon analyzing the low uptake of EVs in poorer regions with higher BIPOC populations, there is little incentive for private-sector actors and corporations to implement charging infrastructure, as their Northstar is almost always maximizing profit in our anarchic an</w:t>
      </w:r>
      <w:r>
        <w:t xml:space="preserve">d capitalistic global system. A shift in focus from a profit-based implementation of EV infrastructure towards a more equity-based implementation is </w:t>
      </w:r>
      <w:r>
        <w:t>required. This is best enabled through the collaboration between government and private sector actors, as shown by the projects implemented by the short but successful CA $130 million plan.</w:t>
      </w:r>
      <w:r>
        <w:rPr>
          <w:vertAlign w:val="superscript"/>
        </w:rPr>
        <w:footnoteReference w:id="33"/>
      </w:r>
    </w:p>
    <w:p w14:paraId="749EDCDC" w14:textId="77777777" w:rsidR="00B45F77" w:rsidRDefault="00B45F77" w:rsidP="00D77036">
      <w:pPr>
        <w:jc w:val="both"/>
        <w:rPr>
          <w:rFonts w:ascii="Arial" w:eastAsia="Arial" w:hAnsi="Arial" w:cs="Arial"/>
          <w:sz w:val="22"/>
          <w:szCs w:val="22"/>
        </w:rPr>
      </w:pPr>
    </w:p>
    <w:p w14:paraId="749EDCDD" w14:textId="77777777" w:rsidR="00B45F77" w:rsidRDefault="00352ED0" w:rsidP="00D77036">
      <w:pPr>
        <w:jc w:val="both"/>
      </w:pPr>
      <w:r>
        <w:t>The inequitable progression of charging infrastructure has the potential to increase barriers to achieving access to both emerging technologies and even basic transportation. While gasoline-powered vehicles will exist for the foreseeable future, and their subsequent gasoline infrastructure will also remain established, governments are beginning to enact 100% EV vehicle sale targets and 0 tailpipe emission targets starting as early as 2025.</w:t>
      </w:r>
      <w:r>
        <w:rPr>
          <w:vertAlign w:val="superscript"/>
        </w:rPr>
        <w:footnoteReference w:id="34"/>
      </w:r>
      <w:r>
        <w:t xml:space="preserve"> These new regulations leave BIPOC communities that have not yet adopted EVs stuck between emerging and waning modes of transportation, namely EVs and ICE vehicles respectively.</w:t>
      </w:r>
    </w:p>
    <w:p w14:paraId="749EDCDE" w14:textId="77777777" w:rsidR="00B45F77" w:rsidRDefault="00B45F77" w:rsidP="00D77036">
      <w:pPr>
        <w:jc w:val="both"/>
        <w:rPr>
          <w:rFonts w:ascii="Arial" w:eastAsia="Arial" w:hAnsi="Arial" w:cs="Arial"/>
          <w:sz w:val="22"/>
          <w:szCs w:val="22"/>
        </w:rPr>
      </w:pPr>
    </w:p>
    <w:p w14:paraId="749EDCDF" w14:textId="77777777" w:rsidR="00B45F77" w:rsidRDefault="00352ED0" w:rsidP="00D77036">
      <w:pPr>
        <w:pStyle w:val="Heading1"/>
        <w:jc w:val="both"/>
        <w:rPr>
          <w:rFonts w:ascii="Arial" w:eastAsia="Arial" w:hAnsi="Arial" w:cs="Arial"/>
        </w:rPr>
      </w:pPr>
      <w:bookmarkStart w:id="8" w:name="_97jvek293baj" w:colFirst="0" w:colLast="0"/>
      <w:bookmarkEnd w:id="8"/>
      <w:r>
        <w:t>Does everyone reap the environmental benefits of EVs?</w:t>
      </w:r>
    </w:p>
    <w:p w14:paraId="749EDCE0" w14:textId="77777777" w:rsidR="00B45F77" w:rsidRDefault="00352ED0" w:rsidP="00D77036">
      <w:pPr>
        <w:jc w:val="both"/>
      </w:pPr>
      <w:r>
        <w:t xml:space="preserve">Based on the information presented in the previous two sections, one would be quick to state the simple answer: “No”. </w:t>
      </w:r>
      <w:proofErr w:type="gramStart"/>
      <w:r>
        <w:t>Referring back</w:t>
      </w:r>
      <w:proofErr w:type="gramEnd"/>
      <w:r>
        <w:t xml:space="preserve"> to </w:t>
      </w:r>
      <w:proofErr w:type="gramStart"/>
      <w:r>
        <w:t>the work</w:t>
      </w:r>
      <w:proofErr w:type="gramEnd"/>
      <w:r>
        <w:t xml:space="preserve"> of Robert Bullard and </w:t>
      </w:r>
      <w:r>
        <w:lastRenderedPageBreak/>
        <w:t xml:space="preserve">Deirdre Bloome, there are already existing inequalities in access to equitable well-being and development outcomes, many of which are tied to the environment, and vary based on a combination of racial and socioeconomic factors. However, it is important to analyze actual development outcomes for end </w:t>
      </w:r>
      <w:proofErr w:type="gramStart"/>
      <w:r>
        <w:t>users—</w:t>
      </w:r>
      <w:proofErr w:type="gramEnd"/>
      <w:r>
        <w:t xml:space="preserve">the main of which is the promised increase in air quality—in greater detail. Aside from conjecture, there exists evidence to suggest that EVs contribute to existing disparities in access to clean air, for a variety of reasons. </w:t>
      </w:r>
    </w:p>
    <w:p w14:paraId="749EDCE1" w14:textId="77777777" w:rsidR="00B45F77" w:rsidRDefault="00B45F77" w:rsidP="00D77036">
      <w:pPr>
        <w:jc w:val="both"/>
      </w:pPr>
    </w:p>
    <w:p w14:paraId="749EDCE2" w14:textId="77777777" w:rsidR="00B45F77" w:rsidRDefault="00352ED0" w:rsidP="00D77036">
      <w:pPr>
        <w:jc w:val="both"/>
        <w:rPr>
          <w:rFonts w:ascii="Arial" w:eastAsia="Arial" w:hAnsi="Arial" w:cs="Arial"/>
          <w:sz w:val="22"/>
          <w:szCs w:val="22"/>
        </w:rPr>
      </w:pPr>
      <w:r>
        <w:t xml:space="preserve">One example of socioeconomic factors affecting access to the environmental benefits of EVs is displayed through an economic study carried out by researchers at NBER who calculated an average net gain or loss (in a dollar amount) due to environmental implications and impacts of the transition from ICE fleet vehicles to EV fleets. They found that “the environmental benefits are positive for block groups with household income greater than about $65,000, but negative below this level. </w:t>
      </w:r>
      <w:proofErr w:type="gramStart"/>
      <w:r>
        <w:t>Thus</w:t>
      </w:r>
      <w:proofErr w:type="gramEnd"/>
      <w:r>
        <w:t xml:space="preserve"> individuals with income above this level receive a positive environmental benefit from electric vehicles on average, but individuals with </w:t>
      </w:r>
      <w:r>
        <w:t>income below this receive a negative environmental benefit on average. Because the overall environmental benefit is slightly negative, the gains to the rich individuals are outweighed by the losses to the poor individuals.”</w:t>
      </w:r>
      <w:r>
        <w:rPr>
          <w:vertAlign w:val="superscript"/>
        </w:rPr>
        <w:footnoteReference w:id="35"/>
      </w:r>
      <w:r>
        <w:t xml:space="preserve"> At face value, one can interpret the last line to mean that EVs have an overall negative impact on North American populations, at the current level. However, more nuance is required in analyzing the above findings. While it is true that poorer communities disproportionately face negative effects from EVs when compared to the positive effects felt by richer communities, according to the study, one of the reasons for a lack of clear benefit from EVs “is a result of BIPOC communities being disproportionately </w:t>
      </w:r>
      <w:r>
        <w:t>exposed to pollution from increased electricity generation and manufacturing associated with EV adoption.”</w:t>
      </w:r>
      <w:r>
        <w:rPr>
          <w:vertAlign w:val="superscript"/>
        </w:rPr>
        <w:footnoteReference w:id="36"/>
      </w:r>
      <w:r>
        <w:t xml:space="preserve"> To corroborate, many regions in which manufacturing is a large portion of the economy also disproportionately suffer due to the fact that EVs are significantly more carbon-intensive to manufacture than ICE vehicles and have a greater initial carbon footprint.</w:t>
      </w:r>
      <w:r>
        <w:rPr>
          <w:vertAlign w:val="superscript"/>
        </w:rPr>
        <w:footnoteReference w:id="37"/>
      </w:r>
    </w:p>
    <w:p w14:paraId="749EDCE3" w14:textId="77777777" w:rsidR="00B45F77" w:rsidRDefault="00B45F77" w:rsidP="00D77036">
      <w:pPr>
        <w:jc w:val="both"/>
      </w:pPr>
    </w:p>
    <w:p w14:paraId="749EDCE4" w14:textId="77777777" w:rsidR="00B45F77" w:rsidRDefault="00352ED0" w:rsidP="00D77036">
      <w:pPr>
        <w:jc w:val="both"/>
      </w:pPr>
      <w:r>
        <w:lastRenderedPageBreak/>
        <w:t>All-in-all, this leads to worse development outcomes for lower-income and non-white communities in so-called ‘developed’ global north states. Despite this fact, the adoption of electric vehicles and increased air quality in areas in which they operate are nonetheless generally seen as a sign of positive development, as that is the dominant perspective about EVs and their propagation. However, this approach to achieving sustainable development has shown itself to carry the potential to exacerbate inequalitie</w:t>
      </w:r>
      <w:r>
        <w:t>s in access to clean air.</w:t>
      </w:r>
    </w:p>
    <w:p w14:paraId="749EDCE5" w14:textId="77777777" w:rsidR="00B45F77" w:rsidRDefault="00B45F77" w:rsidP="00D77036">
      <w:pPr>
        <w:pStyle w:val="Heading1"/>
        <w:jc w:val="both"/>
      </w:pPr>
      <w:bookmarkStart w:id="9" w:name="_inn1g84hohyd" w:colFirst="0" w:colLast="0"/>
      <w:bookmarkEnd w:id="9"/>
    </w:p>
    <w:p w14:paraId="749EDCE6" w14:textId="77777777" w:rsidR="00B45F77" w:rsidRDefault="00352ED0" w:rsidP="00D77036">
      <w:pPr>
        <w:pStyle w:val="Heading1"/>
        <w:jc w:val="both"/>
      </w:pPr>
      <w:bookmarkStart w:id="10" w:name="_1rhuc52yxmrm" w:colFirst="0" w:colLast="0"/>
      <w:bookmarkEnd w:id="10"/>
      <w:r>
        <w:t>Conclusion</w:t>
      </w:r>
    </w:p>
    <w:p w14:paraId="749EDCE7" w14:textId="77777777" w:rsidR="00B45F77" w:rsidRDefault="00352ED0" w:rsidP="00D77036">
      <w:pPr>
        <w:jc w:val="both"/>
      </w:pPr>
      <w:r>
        <w:t xml:space="preserve">Although this essay mainly posits a contrarian opinion to the dominant perspective surrounding EVs, it is important to acknowledge that this paper focuses on highlighting </w:t>
      </w:r>
      <w:proofErr w:type="gramStart"/>
      <w:r>
        <w:t>lesser-explored</w:t>
      </w:r>
      <w:proofErr w:type="gramEnd"/>
      <w:r>
        <w:t xml:space="preserve"> </w:t>
      </w:r>
      <w:proofErr w:type="gramStart"/>
      <w:r>
        <w:t>drawbacks, but</w:t>
      </w:r>
      <w:proofErr w:type="gramEnd"/>
      <w:r>
        <w:t xml:space="preserve"> does not comment upon the overall efficacy of this emerging technology. </w:t>
      </w:r>
      <w:proofErr w:type="gramStart"/>
      <w:r>
        <w:t>As</w:t>
      </w:r>
      <w:proofErr w:type="gramEnd"/>
      <w:r>
        <w:t xml:space="preserve"> any technology in its infancy, EVs cannot exist without glaring issues, however, the claim of this paper is not that EVs are harmful, superfluous, or intrinsically negative forms of technology. Inequalities that arise </w:t>
      </w:r>
      <w:proofErr w:type="gramStart"/>
      <w:r>
        <w:t>as a result of</w:t>
      </w:r>
      <w:proofErr w:type="gramEnd"/>
      <w:r>
        <w:t xml:space="preserve"> EVs are not an inherent issue of </w:t>
      </w:r>
      <w:proofErr w:type="gramStart"/>
      <w:r>
        <w:t>the technology</w:t>
      </w:r>
      <w:proofErr w:type="gramEnd"/>
      <w:r>
        <w:t xml:space="preserve">, but rather, par for the course with such revolutionary technology. It is worth reiterating that outlining and bringing to light </w:t>
      </w:r>
      <w:r>
        <w:t xml:space="preserve">inequalities does not imply malice from those at the forefront of </w:t>
      </w:r>
      <w:proofErr w:type="gramStart"/>
      <w:r>
        <w:t>its</w:t>
      </w:r>
      <w:proofErr w:type="gramEnd"/>
      <w:r>
        <w:t xml:space="preserve"> innovation. Rather, this paper acknowledges that existing structures have been built on incredibly unequal </w:t>
      </w:r>
      <w:proofErr w:type="gramStart"/>
      <w:r>
        <w:t>foundations, and</w:t>
      </w:r>
      <w:proofErr w:type="gramEnd"/>
      <w:r>
        <w:t xml:space="preserve"> are often the root cause of the worsening of inequalities, rather than an inherent flaw in EV infrastructures themselves. Additionally, it is important to point out issues with current literature, as issues in theory often become issues in practice. It is best to make oneself aware of the considerations often disregarded in the progression of emerging technologies, such as the </w:t>
      </w:r>
      <w:proofErr w:type="gramStart"/>
      <w:r>
        <w:t>aforementioned ‘optimization’</w:t>
      </w:r>
      <w:proofErr w:type="gramEnd"/>
      <w:r>
        <w:t xml:space="preserve"> vs. ‘equity’ disparity we see in current EV infrastructure literature.</w:t>
      </w:r>
    </w:p>
    <w:p w14:paraId="749EDCE8" w14:textId="77777777" w:rsidR="00B45F77" w:rsidRDefault="00B45F77" w:rsidP="00D77036">
      <w:pPr>
        <w:jc w:val="both"/>
        <w:rPr>
          <w:rFonts w:ascii="Arial" w:eastAsia="Arial" w:hAnsi="Arial" w:cs="Arial"/>
          <w:sz w:val="22"/>
          <w:szCs w:val="22"/>
        </w:rPr>
      </w:pPr>
    </w:p>
    <w:p w14:paraId="749EDCE9" w14:textId="77777777" w:rsidR="00B45F77" w:rsidRDefault="00352ED0" w:rsidP="00D77036">
      <w:pPr>
        <w:jc w:val="both"/>
      </w:pPr>
      <w:r>
        <w:t>As an aspiring automotive engineer, and someone who is deeply troubled by the status quo of great inequalities in access to transport in my region, the research process involved with this essay has perhaps made me more concerned with the current state of inequalities in transportation, which is not only a facet of development, but also a human right. This essay also serves as a tool for me to get a better understanding of the social issues present with EV technology so I can act upon it once I and other eng</w:t>
      </w:r>
      <w:r>
        <w:t xml:space="preserve">ineers like me have the platform to do so. Focus must be given to these issues and accounted for </w:t>
      </w:r>
      <w:r>
        <w:lastRenderedPageBreak/>
        <w:t xml:space="preserve">during the engineering process rather than by ‘band-aid’ measures such as blanket subsidies and rebates. However, perhaps more important than equity considerations in engineering is the acknowledgment that there is a valid argument to be made that cars are unsustainable in nature and that more communal forms of transport will almost certainly be more sustainable and equitable, and investment in the same is of paramount importance. </w:t>
      </w:r>
    </w:p>
    <w:p w14:paraId="749EDCEA" w14:textId="77777777" w:rsidR="00B45F77" w:rsidRDefault="00B45F77" w:rsidP="00D77036">
      <w:pPr>
        <w:jc w:val="both"/>
      </w:pPr>
    </w:p>
    <w:p w14:paraId="749EDCEB" w14:textId="77777777" w:rsidR="00B45F77" w:rsidRDefault="00352ED0" w:rsidP="00D77036">
      <w:pPr>
        <w:jc w:val="both"/>
      </w:pPr>
      <w:proofErr w:type="gramStart"/>
      <w:r>
        <w:t>That being said, in</w:t>
      </w:r>
      <w:proofErr w:type="gramEnd"/>
      <w:r>
        <w:t xml:space="preserve"> a North American context, car-dependent infrastructure is incredibly deep-rooted and pervasive. In such a society, waiting for an urban-planning revolution will leave many people underserved. What is of utmost importance </w:t>
      </w:r>
      <w:proofErr w:type="gramStart"/>
      <w:r>
        <w:t>at the moment</w:t>
      </w:r>
      <w:proofErr w:type="gramEnd"/>
      <w:r>
        <w:t xml:space="preserve"> is to ensure </w:t>
      </w:r>
      <w:r>
        <w:t>that given the current developmental frameworks available to us, we strive to ensure the most equitable and sustainable transport outcomes possible within an inherently inequitable system. To answer my research question, the advancement of EV technology and infrastructure has the potential to perpetuate nearly all existing transportation, economic, and environmental inequalities within a North American framework. Within the scope of this paper, I have examined the clear ways in which uptake trends for EVs a</w:t>
      </w:r>
      <w:r>
        <w:t>nd their subsequent infrastructure often fall into the same patterns of injustice that have existed for centuries, namely in access to equitable transportation, clean air, and economic incentives from the government and private sector.</w:t>
      </w:r>
    </w:p>
    <w:p w14:paraId="749EDCEC" w14:textId="77777777" w:rsidR="00D77036" w:rsidRDefault="00D77036" w:rsidP="00D77036">
      <w:pPr>
        <w:pStyle w:val="Heading1"/>
        <w:spacing w:line="276" w:lineRule="auto"/>
        <w:jc w:val="both"/>
        <w:sectPr w:rsidR="00D77036" w:rsidSect="00D77036">
          <w:type w:val="continuous"/>
          <w:pgSz w:w="12240" w:h="15840"/>
          <w:pgMar w:top="1440" w:right="1440" w:bottom="1440" w:left="1440" w:header="720" w:footer="720" w:gutter="0"/>
          <w:pgNumType w:start="1"/>
          <w:cols w:num="2" w:space="720"/>
          <w:titlePg/>
        </w:sectPr>
      </w:pPr>
      <w:bookmarkStart w:id="11" w:name="_fhm75uyt98t7" w:colFirst="0" w:colLast="0"/>
      <w:bookmarkEnd w:id="11"/>
    </w:p>
    <w:p w14:paraId="749EDCED" w14:textId="77777777" w:rsidR="00B45F77" w:rsidRDefault="00352ED0" w:rsidP="00D77036">
      <w:pPr>
        <w:pStyle w:val="Heading1"/>
        <w:spacing w:line="276" w:lineRule="auto"/>
        <w:jc w:val="both"/>
      </w:pPr>
      <w:r>
        <w:br w:type="page"/>
      </w:r>
    </w:p>
    <w:p w14:paraId="749EDCEE" w14:textId="77777777" w:rsidR="00B45F77" w:rsidRDefault="00352ED0" w:rsidP="00956B3F">
      <w:pPr>
        <w:spacing w:line="480" w:lineRule="auto"/>
        <w:jc w:val="center"/>
        <w:rPr>
          <w:b/>
        </w:rPr>
      </w:pPr>
      <w:r>
        <w:rPr>
          <w:b/>
        </w:rPr>
        <w:lastRenderedPageBreak/>
        <w:t>Works Cited</w:t>
      </w:r>
    </w:p>
    <w:p w14:paraId="749EDCEF" w14:textId="77777777" w:rsidR="00B45F77" w:rsidRDefault="00352ED0" w:rsidP="00956B3F">
      <w:pPr>
        <w:spacing w:line="276" w:lineRule="auto"/>
        <w:ind w:left="720"/>
      </w:pPr>
      <w:r>
        <w:t xml:space="preserve">Acemoglu, Daron, et al. “Transition to Clean Energy.” </w:t>
      </w:r>
      <w:r>
        <w:rPr>
          <w:i/>
        </w:rPr>
        <w:t>SSRN Electronic Journal</w:t>
      </w:r>
      <w:r>
        <w:t>, Dec. 2014, https://doi.org/10.2139/ssrn.2392106. This source was used to cite the claim that subsidies provided by the Canadian government have been crucial in the climate transition portfolio.</w:t>
      </w:r>
    </w:p>
    <w:p w14:paraId="749EDCF0" w14:textId="77777777" w:rsidR="00B45F77" w:rsidRDefault="00352ED0" w:rsidP="00956B3F">
      <w:pPr>
        <w:spacing w:line="276" w:lineRule="auto"/>
        <w:ind w:left="720"/>
      </w:pPr>
      <w:r>
        <w:t xml:space="preserve">Bloome, Deirdre. “Racial Inequality Trends and the Intergenerational Persistence of Income and Family Structure.” </w:t>
      </w:r>
      <w:r>
        <w:rPr>
          <w:i/>
        </w:rPr>
        <w:t>American Sociological Review</w:t>
      </w:r>
      <w:r>
        <w:t>, vol. 79, no. 6, Nov. 2014, pp. 1196–225, https://doi.org/10.1177/0003122414554947. This source was mainly used for a citation regarding the link between social class and financial issues, and the degree to which they overlap. It was found through reading other sources and seeing what they had cited.</w:t>
      </w:r>
    </w:p>
    <w:p w14:paraId="749EDCF1" w14:textId="77777777" w:rsidR="00B45F77" w:rsidRDefault="00352ED0" w:rsidP="00956B3F">
      <w:pPr>
        <w:spacing w:line="276" w:lineRule="auto"/>
        <w:ind w:left="720"/>
      </w:pPr>
      <w:r>
        <w:t xml:space="preserve">Bullard, Robert. “Dismantling Environmental Racism in the USA.” </w:t>
      </w:r>
      <w:r>
        <w:rPr>
          <w:i/>
        </w:rPr>
        <w:t>Local Environment</w:t>
      </w:r>
      <w:r>
        <w:t>, vol. 4, no. 1, Feb. 1999, pp. 5–19, https://doi.org/10.1080/13549839908725577. Accessed 23 June 2023. This source was mainly utilized for its definitions and framework around environmental justice and racism.</w:t>
      </w:r>
    </w:p>
    <w:p w14:paraId="749EDCF2" w14:textId="77777777" w:rsidR="00B45F77" w:rsidRDefault="00352ED0" w:rsidP="00956B3F">
      <w:pPr>
        <w:spacing w:line="276" w:lineRule="auto"/>
        <w:ind w:left="720"/>
      </w:pPr>
      <w:r>
        <w:t xml:space="preserve">---. “Race and Environmental Justice in the United States.” </w:t>
      </w:r>
      <w:r>
        <w:rPr>
          <w:i/>
        </w:rPr>
        <w:t>Yale Journal of International Law</w:t>
      </w:r>
      <w:r>
        <w:t>, Jan. 1993, hdl.handle.net/20.500.13051/6282. Accessed 7 July 2023. This source was used for the definition of Environmental Justice.</w:t>
      </w:r>
    </w:p>
    <w:p w14:paraId="749EDCF3" w14:textId="77777777" w:rsidR="00B45F77" w:rsidRDefault="00352ED0" w:rsidP="00956B3F">
      <w:pPr>
        <w:spacing w:line="276" w:lineRule="auto"/>
        <w:ind w:left="720"/>
      </w:pPr>
      <w:r>
        <w:t xml:space="preserve">Carey, John. “The Other Benefit of Electric Vehicles.” </w:t>
      </w:r>
      <w:r>
        <w:rPr>
          <w:i/>
        </w:rPr>
        <w:t>Proceedings of the National Academy of Sciences</w:t>
      </w:r>
      <w:r>
        <w:t>, vol. 120, no. 3, Jan. 2023, https://doi.org/10.1073/pnas.2220923120. Accessed 5 July 2023. This article was used to cite the claim that EVs have largely contributed to cleaner air quality within the regions they operate.</w:t>
      </w:r>
    </w:p>
    <w:p w14:paraId="749EDCF4" w14:textId="77777777" w:rsidR="00B45F77" w:rsidRDefault="00352ED0" w:rsidP="00956B3F">
      <w:pPr>
        <w:spacing w:line="276" w:lineRule="auto"/>
        <w:ind w:left="720"/>
      </w:pPr>
      <w:r>
        <w:t xml:space="preserve">Engineering Explained. “Are Electric Cars Worse for the Environment?” </w:t>
      </w:r>
      <w:r>
        <w:rPr>
          <w:i/>
        </w:rPr>
        <w:t>YouTube</w:t>
      </w:r>
      <w:r>
        <w:t>, 31 Oct. 2018, www.youtube.com/watch?v=6RhtiPefVzM. Accessed 14 Apr. 2023. This video was used to cite the claim that the manufacturing process of EVs is much more carbon-intensive than that of ICE vehicles.</w:t>
      </w:r>
    </w:p>
    <w:p w14:paraId="749EDCF5" w14:textId="77777777" w:rsidR="00B45F77" w:rsidRDefault="00352ED0" w:rsidP="00956B3F">
      <w:pPr>
        <w:spacing w:line="276" w:lineRule="auto"/>
        <w:ind w:left="720"/>
      </w:pPr>
      <w:r>
        <w:t xml:space="preserve">Gareis-Smith, D. “Environmental Racism: The Failure of Equal Protection to Provide a Judicial Remedy and the Potential of Title vi of the 1964 Civil Rights Act.” </w:t>
      </w:r>
      <w:r>
        <w:rPr>
          <w:i/>
        </w:rPr>
        <w:t>Temple Journal of Science, Technology &amp; Environmental Law</w:t>
      </w:r>
      <w:r>
        <w:t>, 1994. This source was used as a quotation to corroborate the claim that environmental injustice does not imply malicious intent.</w:t>
      </w:r>
    </w:p>
    <w:p w14:paraId="749EDCF6" w14:textId="77777777" w:rsidR="00B45F77" w:rsidRDefault="00352ED0" w:rsidP="00956B3F">
      <w:pPr>
        <w:spacing w:line="276" w:lineRule="auto"/>
        <w:ind w:left="720"/>
      </w:pPr>
      <w:proofErr w:type="spellStart"/>
      <w:r>
        <w:t>Hausfather</w:t>
      </w:r>
      <w:proofErr w:type="spellEnd"/>
      <w:r>
        <w:t xml:space="preserve">, Zeke. “Factcheck: How Electric Vehicles Help to Tackle Climate Change.” </w:t>
      </w:r>
      <w:r>
        <w:rPr>
          <w:i/>
        </w:rPr>
        <w:t>Carbon Brief</w:t>
      </w:r>
      <w:r>
        <w:t xml:space="preserve">, Carbon Brief Ltd., 13 May 2019, www.carbonbrief.org/factcheck-how-electric-vehicles-help-to-tackle-climate-change/. Accessed 5 July 2023. This </w:t>
      </w:r>
      <w:proofErr w:type="spellStart"/>
      <w:r>
        <w:t>FactCheck</w:t>
      </w:r>
      <w:proofErr w:type="spellEnd"/>
      <w:r>
        <w:t xml:space="preserve"> was used to cite the claims that EVs have generally contributed to better air quality in the regions they </w:t>
      </w:r>
      <w:proofErr w:type="gramStart"/>
      <w:r>
        <w:t>operate,</w:t>
      </w:r>
      <w:proofErr w:type="gramEnd"/>
      <w:r>
        <w:t xml:space="preserve"> on average.</w:t>
      </w:r>
    </w:p>
    <w:p w14:paraId="749EDCF7" w14:textId="77777777" w:rsidR="00B45F77" w:rsidRDefault="00352ED0" w:rsidP="00956B3F">
      <w:pPr>
        <w:spacing w:line="276" w:lineRule="auto"/>
        <w:ind w:left="720"/>
      </w:pPr>
      <w:r>
        <w:t xml:space="preserve">Holland, Stephen, et al. </w:t>
      </w:r>
      <w:r>
        <w:rPr>
          <w:i/>
        </w:rPr>
        <w:t>Distributional Effects of Air Pollution from Electric Vehicle Adoption</w:t>
      </w:r>
      <w:r>
        <w:t xml:space="preserve">. Nov. 2016, https://doi.org/10.3386/w22862. Accessed 5 Feb. 2023. This paper </w:t>
      </w:r>
      <w:r>
        <w:lastRenderedPageBreak/>
        <w:t>helped corroborate claims made by Brandon Nguyen stating that the distribution of air pollution due to EVs was inherently inequitable.</w:t>
      </w:r>
    </w:p>
    <w:p w14:paraId="749EDCF8" w14:textId="77777777" w:rsidR="00B45F77" w:rsidRDefault="00352ED0" w:rsidP="00956B3F">
      <w:pPr>
        <w:spacing w:line="276" w:lineRule="auto"/>
        <w:ind w:left="720"/>
      </w:pPr>
      <w:r>
        <w:t xml:space="preserve">Hopkins, Emma, et al. “Can the Equitable Roll out of Electric Vehicle Charging Infrastructure Be Achieved?” </w:t>
      </w:r>
      <w:r>
        <w:rPr>
          <w:i/>
        </w:rPr>
        <w:t>Renewable and Sustainable Energy Reviews</w:t>
      </w:r>
      <w:r>
        <w:t>, vol. 182, May 2023, p. 113398, https://doi.org/10.1016/j.rser.2023.113398. Accessed 5 July 2023.</w:t>
      </w:r>
    </w:p>
    <w:p w14:paraId="749EDCF9" w14:textId="77777777" w:rsidR="00B45F77" w:rsidRDefault="00352ED0" w:rsidP="00956B3F">
      <w:pPr>
        <w:spacing w:line="276" w:lineRule="auto"/>
        <w:ind w:left="720"/>
      </w:pPr>
      <w:r>
        <w:t xml:space="preserve">IBO. </w:t>
      </w:r>
      <w:r>
        <w:rPr>
          <w:i/>
        </w:rPr>
        <w:t>Global Politics Guide First Assessment 2017</w:t>
      </w:r>
      <w:r>
        <w:t>. 2017. Accessed 6 July 2023. The IBDP Global Politics course guide was used for definitions within the introduction and methodology sections of this essay.</w:t>
      </w:r>
    </w:p>
    <w:p w14:paraId="749EDCFA" w14:textId="77777777" w:rsidR="00B45F77" w:rsidRDefault="00352ED0" w:rsidP="00956B3F">
      <w:pPr>
        <w:spacing w:line="276" w:lineRule="auto"/>
        <w:ind w:left="720"/>
      </w:pPr>
      <w:r>
        <w:t xml:space="preserve">International Energy Agency. “Demand for Electric Cars Is Booming, with Sales Expected to Leap 35% This Year after a Record-Breaking 2022 - News - IEA.” </w:t>
      </w:r>
      <w:r w:rsidRPr="00D77036">
        <w:rPr>
          <w:i/>
          <w:lang w:val="es-419"/>
        </w:rPr>
        <w:t>IEA</w:t>
      </w:r>
      <w:r w:rsidRPr="00D77036">
        <w:rPr>
          <w:lang w:val="es-419"/>
        </w:rPr>
        <w:t xml:space="preserve">, 2022, www.iea.org/news/demand-for-electric-cars-is-booming-with-sales-expected-to-leap-35-this-year-after-a-record-breaking-2022. </w:t>
      </w:r>
      <w:r>
        <w:t>Accessed 6 July 2023.</w:t>
      </w:r>
    </w:p>
    <w:p w14:paraId="749EDCFB" w14:textId="77777777" w:rsidR="00B45F77" w:rsidRDefault="00352ED0" w:rsidP="00956B3F">
      <w:pPr>
        <w:spacing w:line="276" w:lineRule="auto"/>
        <w:ind w:left="720"/>
      </w:pPr>
      <w:r>
        <w:t xml:space="preserve">International Institute for Sustainable Development. “Sustainable Development.” </w:t>
      </w:r>
      <w:r>
        <w:rPr>
          <w:i/>
        </w:rPr>
        <w:t>International Institute for Sustainable Development</w:t>
      </w:r>
      <w:r>
        <w:t>, 2022, www.iisd.org/mission-and-goals/sustainable-development. Accessed 6 July 2023. This source was used to define sustainable development.</w:t>
      </w:r>
    </w:p>
    <w:p w14:paraId="749EDCFC" w14:textId="77777777" w:rsidR="00B45F77" w:rsidRDefault="00352ED0" w:rsidP="00956B3F">
      <w:pPr>
        <w:spacing w:line="276" w:lineRule="auto"/>
        <w:ind w:left="720"/>
      </w:pPr>
      <w:r>
        <w:t xml:space="preserve">Lorentzen, Erik, et al. “Charging Infrastructure Experiences in Norway - the World’s Most Advanced EV Market.” </w:t>
      </w:r>
      <w:r>
        <w:rPr>
          <w:i/>
        </w:rPr>
        <w:t>Norwegian EV Association</w:t>
      </w:r>
      <w:r>
        <w:t>, 11 Oct. 2017, elbil.no/wp-content/uploads/2016/08/EVS30-Charging-infrastrucure-experiences-in-Norway-paper.pdf. Accessed 21 July 2023. This source was used to cite claims of the implementation of 100% EV sale targets as soon as 2025.</w:t>
      </w:r>
    </w:p>
    <w:p w14:paraId="749EDCFD" w14:textId="77777777" w:rsidR="00B45F77" w:rsidRDefault="00352ED0" w:rsidP="00956B3F">
      <w:pPr>
        <w:spacing w:line="276" w:lineRule="auto"/>
        <w:ind w:left="720"/>
      </w:pPr>
      <w:proofErr w:type="spellStart"/>
      <w:r>
        <w:t>Malveux</w:t>
      </w:r>
      <w:proofErr w:type="spellEnd"/>
      <w:r>
        <w:t xml:space="preserve">, Julianne. “Electric Car Tax Credits Subsidize Inequality.” </w:t>
      </w:r>
      <w:proofErr w:type="spellStart"/>
      <w:r>
        <w:rPr>
          <w:i/>
        </w:rPr>
        <w:t>TheHill</w:t>
      </w:r>
      <w:proofErr w:type="spellEnd"/>
      <w:r>
        <w:t>, 16 Apr. 2019, thehill.com/opinion/finance/438992-electric-car-tax-credits-subsidize-inequality. Accessed 7 July 2023. This source was used to corroborate the claim that blanket subsidies often exacerbate the already alarming racial wealth gap.</w:t>
      </w:r>
    </w:p>
    <w:p w14:paraId="749EDCFE" w14:textId="77777777" w:rsidR="00B45F77" w:rsidRDefault="00352ED0" w:rsidP="00956B3F">
      <w:pPr>
        <w:spacing w:line="276" w:lineRule="auto"/>
        <w:ind w:left="720"/>
      </w:pPr>
      <w:r>
        <w:t xml:space="preserve">Mansell, Paul, and Simon Philbin. “Measuring Sustainable Development Goal Targets on Infrastructure Projects.” </w:t>
      </w:r>
      <w:r>
        <w:rPr>
          <w:i/>
        </w:rPr>
        <w:t>Journal of Modern Project Management</w:t>
      </w:r>
      <w:r>
        <w:t>, vol. 8, no. 1, 2020, https://doi.org/10.19255/JMPM02303. Accessed 7 May 2023. This article provided a good sense of direction and a baseline set of definitions for the newfound direction of the essay after the slight change in focus. This paper looks at development from a project manager’s perspective, but many important details were extracted regarding the links between project success and the success of SDG targets.</w:t>
      </w:r>
    </w:p>
    <w:p w14:paraId="749EDCFF" w14:textId="77777777" w:rsidR="00B45F77" w:rsidRDefault="00352ED0" w:rsidP="00956B3F">
      <w:pPr>
        <w:spacing w:line="276" w:lineRule="auto"/>
        <w:ind w:left="720"/>
      </w:pPr>
      <w:r>
        <w:t xml:space="preserve">Margonelli, Lisa. “California’s Green-Vehicle Subsidies Have a Huge, Destructive Flaw.” </w:t>
      </w:r>
      <w:r>
        <w:rPr>
          <w:i/>
        </w:rPr>
        <w:t>Slate Magazine</w:t>
      </w:r>
      <w:r>
        <w:t xml:space="preserve">, Slate, 19 Sept. 2014, </w:t>
      </w:r>
      <w:proofErr w:type="gramStart"/>
      <w:r>
        <w:t>slate.com/technology/2014/09/californias-green-vehicle-subsidies-and-income-inequality.html</w:t>
      </w:r>
      <w:proofErr w:type="gramEnd"/>
      <w:r>
        <w:t>. Accessed 7 July 2023. This source was used to cite claims of disproportionate allocations of economic benefits from subsidies.</w:t>
      </w:r>
    </w:p>
    <w:p w14:paraId="749EDD00" w14:textId="77777777" w:rsidR="00B45F77" w:rsidRDefault="00352ED0" w:rsidP="00956B3F">
      <w:pPr>
        <w:spacing w:line="276" w:lineRule="auto"/>
        <w:ind w:left="720"/>
      </w:pPr>
      <w:r>
        <w:t xml:space="preserve">Natural Resources Canada. “Zero Emission Vehicle Infrastructure Program.” </w:t>
      </w:r>
      <w:r>
        <w:rPr>
          <w:i/>
        </w:rPr>
        <w:t>Canada.ca</w:t>
      </w:r>
      <w:r>
        <w:t>, 9 May 2023, natural-resources.canada.ca/energy-efficiency/transportation-alternative-fuels/zero-emission-vehicle-infrastructure-program/21876. Accessed 14 July 2023.</w:t>
      </w:r>
    </w:p>
    <w:p w14:paraId="749EDD01" w14:textId="77777777" w:rsidR="00B45F77" w:rsidRDefault="00352ED0" w:rsidP="00956B3F">
      <w:pPr>
        <w:spacing w:line="276" w:lineRule="auto"/>
        <w:ind w:left="720"/>
      </w:pPr>
      <w:r>
        <w:lastRenderedPageBreak/>
        <w:t xml:space="preserve">Nguyen, Brandon. </w:t>
      </w:r>
      <w:r>
        <w:rPr>
          <w:i/>
        </w:rPr>
        <w:t>Unintended Consequences of Electric Vehicle (EV) Incentives on Socioeconomic and Racial Inequality Socioeconomic and Racial Inequality</w:t>
      </w:r>
      <w:r>
        <w:t xml:space="preserve">. 2020. Accessed 18 June 2023. This paper gave some extremely good insight at the beginning of </w:t>
      </w:r>
      <w:r>
        <w:t>the research process. This paper is heavily cited and provided meaningful links to other important sources from relevant scholars in the EJ (Environmental Justice) field. Additionally, important quotes and statistics about EV charging infrastructure and the impacts of economic incentives on BIPOC communities have been referenced from here.</w:t>
      </w:r>
    </w:p>
    <w:p w14:paraId="749EDD02" w14:textId="77777777" w:rsidR="00B45F77" w:rsidRDefault="00352ED0" w:rsidP="00956B3F">
      <w:pPr>
        <w:spacing w:line="276" w:lineRule="auto"/>
        <w:ind w:left="720"/>
      </w:pPr>
      <w:r>
        <w:t xml:space="preserve">Rubin, Dana, and Evelyne St-Louis. “Evaluating the Economic and Social Implications of Participation in Clean Vehicle Rebate Programs: Who’s In, Who’s Out?” </w:t>
      </w:r>
      <w:r>
        <w:rPr>
          <w:i/>
        </w:rPr>
        <w:t>Transportation Research Record: Journal of the Transportation Research Board</w:t>
      </w:r>
      <w:r>
        <w:t xml:space="preserve">, vol. 2598, no. 1, Jan. 2016, pp. 67–74, https://doi.org/10.3141/2598-08. Accessed 6 July 2023. This source was used to cite the claim that low levels of ownership among </w:t>
      </w:r>
      <w:proofErr w:type="gramStart"/>
      <w:r>
        <w:t>African-American</w:t>
      </w:r>
      <w:proofErr w:type="gramEnd"/>
      <w:r>
        <w:t xml:space="preserve"> and Hispanic residents holds true even after controlling for income.</w:t>
      </w:r>
    </w:p>
    <w:p w14:paraId="749EDD03" w14:textId="77777777" w:rsidR="00B45F77" w:rsidRDefault="00352ED0" w:rsidP="00956B3F">
      <w:pPr>
        <w:spacing w:line="276" w:lineRule="auto"/>
        <w:ind w:left="720"/>
      </w:pPr>
      <w:r>
        <w:t xml:space="preserve">Shi, Lefeng, et al. “A Comprehensive Charging Network Planning Scheme for Promoting EV Charging Infrastructure Considering the Chicken-Eggs Dilemma.” </w:t>
      </w:r>
      <w:r>
        <w:rPr>
          <w:i/>
        </w:rPr>
        <w:t>Research in Transportation Economics</w:t>
      </w:r>
      <w:r>
        <w:t>, vol. 88, Sept. 2021, https://doi.org/10.1016/j.retrec.2020.100837. This source was mainly used to cite and explain the chicken-and-egg dilemma regarding EV charging infrastructure.</w:t>
      </w:r>
    </w:p>
    <w:p w14:paraId="749EDD04" w14:textId="77777777" w:rsidR="00B45F77" w:rsidRDefault="00352ED0" w:rsidP="00956B3F">
      <w:pPr>
        <w:spacing w:line="276" w:lineRule="auto"/>
        <w:ind w:left="720"/>
      </w:pPr>
      <w:r>
        <w:t>Shin, Hyeon-</w:t>
      </w:r>
      <w:proofErr w:type="spellStart"/>
      <w:r>
        <w:t>Shic</w:t>
      </w:r>
      <w:proofErr w:type="spellEnd"/>
      <w:r>
        <w:t xml:space="preserve">, et al. “An Analysis of Attributes of Electric Vehicle Owners’ Travel and Purchasing Behavior: The Case of Maryland.” </w:t>
      </w:r>
      <w:r>
        <w:rPr>
          <w:i/>
        </w:rPr>
        <w:t>International Conference on Transportation and Development 2019</w:t>
      </w:r>
      <w:r>
        <w:t>, Aug. 2019, https://doi.org/10.1061/9780784482582.008. Accessed 7 July 2023. This source was used to provide a recent summary of EV buyer demographics.</w:t>
      </w:r>
    </w:p>
    <w:p w14:paraId="749EDD05" w14:textId="77777777" w:rsidR="00B45F77" w:rsidRDefault="00352ED0" w:rsidP="00956B3F">
      <w:pPr>
        <w:spacing w:line="276" w:lineRule="auto"/>
        <w:ind w:left="720"/>
      </w:pPr>
      <w:r>
        <w:t xml:space="preserve">Solomon, Danyelle, et al. “Systematic Inequality and Economic Opportunity.” </w:t>
      </w:r>
      <w:r>
        <w:rPr>
          <w:i/>
        </w:rPr>
        <w:t>Center for American Progress</w:t>
      </w:r>
      <w:r>
        <w:t>, Center for American Progress, 7 Aug. 2019, www.americanprogress.org/article/systematic-inequality-economic-opportunity/. Accessed 21 July 2023. This source was used to cite claims of the severity of existing environmental injustices.</w:t>
      </w:r>
    </w:p>
    <w:p w14:paraId="749EDD06" w14:textId="77777777" w:rsidR="00B45F77" w:rsidRDefault="00352ED0" w:rsidP="00956B3F">
      <w:pPr>
        <w:spacing w:line="276" w:lineRule="auto"/>
        <w:ind w:left="720"/>
      </w:pPr>
      <w:r>
        <w:t xml:space="preserve">The Canadian Press. “Federal Electric-Car Rebate Uses Nearly Half Its 3-Year Budget in 8 Months.” </w:t>
      </w:r>
      <w:r>
        <w:rPr>
          <w:i/>
        </w:rPr>
        <w:t>CBC.ca</w:t>
      </w:r>
      <w:r>
        <w:t>, 28 Jan. 2020, www.cbc.ca/news/canada/british-columbia/electric-car-rebate-canada-half-its-3-year-budget-in-8-months-1.5443129. Accessed 7 July 2023.</w:t>
      </w:r>
    </w:p>
    <w:p w14:paraId="749EDD07" w14:textId="77777777" w:rsidR="00B45F77" w:rsidRDefault="00352ED0" w:rsidP="00956B3F">
      <w:pPr>
        <w:spacing w:line="276" w:lineRule="auto"/>
        <w:ind w:left="720"/>
      </w:pPr>
      <w:r>
        <w:t xml:space="preserve">U.S. Department of Energy. “Timeline: History of the Electric Car.” </w:t>
      </w:r>
      <w:r>
        <w:rPr>
          <w:i/>
        </w:rPr>
        <w:t>Energy.gov</w:t>
      </w:r>
      <w:r>
        <w:t>, 2019, www.energy.gov/timeline-history-electric-car#:~:text=Around%201832%2C%20Robert%20Anderson%20develops,an%20English%20inventor%20in%201884.&amp;text=Photo%20courtesy%20of%20the%20Smithsonian. Accessed 13 July 2023.</w:t>
      </w:r>
    </w:p>
    <w:p w14:paraId="749EDD08" w14:textId="77777777" w:rsidR="00B45F77" w:rsidRDefault="00352ED0" w:rsidP="00956B3F">
      <w:pPr>
        <w:spacing w:line="276" w:lineRule="auto"/>
        <w:ind w:left="720"/>
      </w:pPr>
      <w:r>
        <w:t xml:space="preserve">US Census Bureau. “Income in the United States: 2021.” </w:t>
      </w:r>
      <w:r>
        <w:rPr>
          <w:i/>
        </w:rPr>
        <w:t>Census.gov</w:t>
      </w:r>
      <w:r>
        <w:t>, 13 Sept. 2022, www.census.gov/library/publications/2022/demo/p60-276.html. Accessed 7 July 2023. This source was used to bolster demographic data on EV buyers.</w:t>
      </w:r>
    </w:p>
    <w:p w14:paraId="749EDD09" w14:textId="77777777" w:rsidR="00B45F77" w:rsidRDefault="00352ED0" w:rsidP="00956B3F">
      <w:pPr>
        <w:spacing w:line="276" w:lineRule="auto"/>
        <w:ind w:left="720"/>
      </w:pPr>
      <w:r>
        <w:lastRenderedPageBreak/>
        <w:t xml:space="preserve">US Internal Revenue Service. “Income Statistics.” </w:t>
      </w:r>
      <w:r>
        <w:rPr>
          <w:i/>
        </w:rPr>
        <w:t>Irs.gov</w:t>
      </w:r>
      <w:r>
        <w:t>, 2022, www.irs.gov/statistics/soi-tax-stats-individual-statistical-tables-by-tax-rate-and-income-percentile. Accessed 7 July 2023.</w:t>
      </w:r>
    </w:p>
    <w:p w14:paraId="749EDD0A" w14:textId="77777777" w:rsidR="00B45F77" w:rsidRDefault="00352ED0" w:rsidP="00956B3F">
      <w:pPr>
        <w:spacing w:line="276" w:lineRule="auto"/>
        <w:ind w:left="720"/>
      </w:pPr>
      <w:r>
        <w:t xml:space="preserve">Winegarden, Wayne. “Subsidies for Electric Vehicles Favor the Wealthy - Pacific Research Institute.” </w:t>
      </w:r>
      <w:r>
        <w:rPr>
          <w:i/>
        </w:rPr>
        <w:t>Pacific Research Institute</w:t>
      </w:r>
      <w:r>
        <w:t>, 12 Mar. 2018, www.pacificresearch.org/subsidies-for-electric-vehicles-favor-the-wealthy/. Accessed 7 July 2023. This source was used to cite claims of disproportionate allocations of economic benefits from subsidies.</w:t>
      </w:r>
    </w:p>
    <w:p w14:paraId="749EDD0B" w14:textId="77777777" w:rsidR="00B45F77" w:rsidRDefault="00352ED0" w:rsidP="00956B3F">
      <w:pPr>
        <w:spacing w:line="276" w:lineRule="auto"/>
        <w:ind w:left="720"/>
      </w:pPr>
      <w:r>
        <w:t xml:space="preserve">Xing, Jianwei, et al. “What Does an Electric Vehicle Replace?” </w:t>
      </w:r>
      <w:r>
        <w:rPr>
          <w:i/>
        </w:rPr>
        <w:t>SSRN Electronic Journal</w:t>
      </w:r>
      <w:r>
        <w:t>, 2019, https://doi.org/10.2139/ssrn.3333188. This source was cited for a statistic regarding EV uptake based on receiving government incentives.</w:t>
      </w:r>
    </w:p>
    <w:p w14:paraId="749EDD0C" w14:textId="77777777" w:rsidR="00B45F77" w:rsidRDefault="00B45F77" w:rsidP="00D77036">
      <w:pPr>
        <w:spacing w:line="276" w:lineRule="auto"/>
        <w:ind w:left="720"/>
        <w:jc w:val="both"/>
        <w:rPr>
          <w:b/>
        </w:rPr>
      </w:pPr>
    </w:p>
    <w:p w14:paraId="749EDD0D" w14:textId="77777777" w:rsidR="00B45F77" w:rsidRDefault="00B45F77" w:rsidP="00D77036">
      <w:pPr>
        <w:spacing w:line="276" w:lineRule="auto"/>
        <w:ind w:left="720"/>
        <w:jc w:val="both"/>
      </w:pPr>
    </w:p>
    <w:sectPr w:rsidR="00B45F77" w:rsidSect="00D77036">
      <w:type w:val="continuous"/>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7C952" w14:textId="77777777" w:rsidR="00352ED0" w:rsidRDefault="00352ED0">
      <w:pPr>
        <w:spacing w:line="240" w:lineRule="auto"/>
      </w:pPr>
      <w:r>
        <w:separator/>
      </w:r>
    </w:p>
  </w:endnote>
  <w:endnote w:type="continuationSeparator" w:id="0">
    <w:p w14:paraId="6BA61F13" w14:textId="77777777" w:rsidR="00352ED0" w:rsidRDefault="00352E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EDD13" w14:textId="77777777" w:rsidR="00B45F77" w:rsidRDefault="00B45F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BD693" w14:textId="77777777" w:rsidR="00352ED0" w:rsidRDefault="00352ED0">
      <w:pPr>
        <w:spacing w:line="240" w:lineRule="auto"/>
      </w:pPr>
      <w:r>
        <w:separator/>
      </w:r>
    </w:p>
  </w:footnote>
  <w:footnote w:type="continuationSeparator" w:id="0">
    <w:p w14:paraId="32C55B76" w14:textId="77777777" w:rsidR="00352ED0" w:rsidRDefault="00352ED0">
      <w:pPr>
        <w:spacing w:line="240" w:lineRule="auto"/>
      </w:pPr>
      <w:r>
        <w:continuationSeparator/>
      </w:r>
    </w:p>
  </w:footnote>
  <w:footnote w:id="1">
    <w:p w14:paraId="749EDD15" w14:textId="77777777" w:rsidR="00B45F77" w:rsidRDefault="00352ED0">
      <w:pPr>
        <w:spacing w:line="240" w:lineRule="auto"/>
        <w:rPr>
          <w:sz w:val="20"/>
          <w:szCs w:val="20"/>
        </w:rPr>
      </w:pPr>
      <w:r>
        <w:rPr>
          <w:vertAlign w:val="superscript"/>
        </w:rPr>
        <w:footnoteRef/>
      </w:r>
      <w:r>
        <w:rPr>
          <w:sz w:val="20"/>
          <w:szCs w:val="20"/>
        </w:rPr>
        <w:t xml:space="preserve"> U.S. Department of Energy, 2019</w:t>
      </w:r>
    </w:p>
  </w:footnote>
  <w:footnote w:id="2">
    <w:p w14:paraId="749EDD16" w14:textId="77777777" w:rsidR="00B45F77" w:rsidRDefault="00352ED0">
      <w:pPr>
        <w:spacing w:line="240" w:lineRule="auto"/>
        <w:rPr>
          <w:sz w:val="20"/>
          <w:szCs w:val="20"/>
        </w:rPr>
      </w:pPr>
      <w:r>
        <w:rPr>
          <w:vertAlign w:val="superscript"/>
        </w:rPr>
        <w:footnoteRef/>
      </w:r>
      <w:r>
        <w:rPr>
          <w:sz w:val="20"/>
          <w:szCs w:val="20"/>
        </w:rPr>
        <w:t xml:space="preserve"> Black, Indigenous, People of Color</w:t>
      </w:r>
    </w:p>
  </w:footnote>
  <w:footnote w:id="3">
    <w:p w14:paraId="749EDD17" w14:textId="77777777" w:rsidR="00B45F77" w:rsidRDefault="00352ED0">
      <w:pPr>
        <w:spacing w:line="240" w:lineRule="auto"/>
        <w:rPr>
          <w:sz w:val="20"/>
          <w:szCs w:val="20"/>
        </w:rPr>
      </w:pPr>
      <w:r>
        <w:rPr>
          <w:vertAlign w:val="superscript"/>
        </w:rPr>
        <w:footnoteRef/>
      </w:r>
      <w:r>
        <w:rPr>
          <w:sz w:val="20"/>
          <w:szCs w:val="20"/>
        </w:rPr>
        <w:t xml:space="preserve"> Bullard, 1993</w:t>
      </w:r>
    </w:p>
  </w:footnote>
  <w:footnote w:id="4">
    <w:p w14:paraId="749EDD18" w14:textId="77777777" w:rsidR="00B45F77" w:rsidRDefault="00352ED0">
      <w:pPr>
        <w:spacing w:line="240" w:lineRule="auto"/>
        <w:rPr>
          <w:sz w:val="20"/>
          <w:szCs w:val="20"/>
        </w:rPr>
      </w:pPr>
      <w:r>
        <w:rPr>
          <w:vertAlign w:val="superscript"/>
        </w:rPr>
        <w:footnoteRef/>
      </w:r>
      <w:r>
        <w:rPr>
          <w:sz w:val="20"/>
          <w:szCs w:val="20"/>
        </w:rPr>
        <w:t xml:space="preserve"> IBO, 2017</w:t>
      </w:r>
    </w:p>
  </w:footnote>
  <w:footnote w:id="5">
    <w:p w14:paraId="749EDD19" w14:textId="77777777" w:rsidR="00B45F77" w:rsidRDefault="00352ED0">
      <w:pPr>
        <w:spacing w:line="240" w:lineRule="auto"/>
        <w:rPr>
          <w:sz w:val="20"/>
          <w:szCs w:val="20"/>
        </w:rPr>
      </w:pPr>
      <w:r>
        <w:rPr>
          <w:vertAlign w:val="superscript"/>
        </w:rPr>
        <w:footnoteRef/>
      </w:r>
      <w:r>
        <w:rPr>
          <w:sz w:val="20"/>
          <w:szCs w:val="20"/>
        </w:rPr>
        <w:t xml:space="preserve"> Adapted from the work of Johan Galtung</w:t>
      </w:r>
    </w:p>
  </w:footnote>
  <w:footnote w:id="6">
    <w:p w14:paraId="749EDD1A" w14:textId="77777777" w:rsidR="00B45F77" w:rsidRDefault="00352ED0">
      <w:pPr>
        <w:spacing w:line="240" w:lineRule="auto"/>
        <w:rPr>
          <w:sz w:val="20"/>
          <w:szCs w:val="20"/>
        </w:rPr>
      </w:pPr>
      <w:r>
        <w:rPr>
          <w:vertAlign w:val="superscript"/>
        </w:rPr>
        <w:footnoteRef/>
      </w:r>
      <w:r>
        <w:rPr>
          <w:sz w:val="20"/>
          <w:szCs w:val="20"/>
        </w:rPr>
        <w:t xml:space="preserve"> Bloome, 2014</w:t>
      </w:r>
    </w:p>
  </w:footnote>
  <w:footnote w:id="7">
    <w:p w14:paraId="749EDD1B" w14:textId="77777777" w:rsidR="00B45F77" w:rsidRDefault="00352ED0">
      <w:pPr>
        <w:spacing w:line="240" w:lineRule="auto"/>
        <w:rPr>
          <w:sz w:val="20"/>
          <w:szCs w:val="20"/>
        </w:rPr>
      </w:pPr>
      <w:r>
        <w:rPr>
          <w:vertAlign w:val="superscript"/>
        </w:rPr>
        <w:footnoteRef/>
      </w:r>
      <w:r>
        <w:rPr>
          <w:sz w:val="20"/>
          <w:szCs w:val="20"/>
        </w:rPr>
        <w:t xml:space="preserve"> Nguyen, 2020</w:t>
      </w:r>
    </w:p>
  </w:footnote>
  <w:footnote w:id="8">
    <w:p w14:paraId="749EDD1C" w14:textId="77777777" w:rsidR="00B45F77" w:rsidRDefault="00352ED0">
      <w:pPr>
        <w:spacing w:line="240" w:lineRule="auto"/>
        <w:rPr>
          <w:sz w:val="20"/>
          <w:szCs w:val="20"/>
        </w:rPr>
      </w:pPr>
      <w:r>
        <w:rPr>
          <w:vertAlign w:val="superscript"/>
        </w:rPr>
        <w:footnoteRef/>
      </w:r>
      <w:r>
        <w:rPr>
          <w:sz w:val="20"/>
          <w:szCs w:val="20"/>
        </w:rPr>
        <w:t xml:space="preserve"> Bullard, 1993</w:t>
      </w:r>
    </w:p>
  </w:footnote>
  <w:footnote w:id="9">
    <w:p w14:paraId="749EDD1D" w14:textId="77777777" w:rsidR="00B45F77" w:rsidRDefault="00352ED0">
      <w:pPr>
        <w:spacing w:line="240" w:lineRule="auto"/>
        <w:rPr>
          <w:sz w:val="20"/>
          <w:szCs w:val="20"/>
        </w:rPr>
      </w:pPr>
      <w:r>
        <w:rPr>
          <w:vertAlign w:val="superscript"/>
        </w:rPr>
        <w:footnoteRef/>
      </w:r>
      <w:r>
        <w:rPr>
          <w:sz w:val="20"/>
          <w:szCs w:val="20"/>
        </w:rPr>
        <w:t xml:space="preserve"> </w:t>
      </w:r>
      <w:proofErr w:type="spellStart"/>
      <w:r>
        <w:rPr>
          <w:sz w:val="20"/>
          <w:szCs w:val="20"/>
        </w:rPr>
        <w:t>Hausfather</w:t>
      </w:r>
      <w:proofErr w:type="spellEnd"/>
      <w:r>
        <w:rPr>
          <w:sz w:val="20"/>
          <w:szCs w:val="20"/>
        </w:rPr>
        <w:t>, 2019</w:t>
      </w:r>
    </w:p>
  </w:footnote>
  <w:footnote w:id="10">
    <w:p w14:paraId="749EDD1E" w14:textId="77777777" w:rsidR="00B45F77" w:rsidRDefault="00352ED0">
      <w:pPr>
        <w:spacing w:line="240" w:lineRule="auto"/>
        <w:rPr>
          <w:sz w:val="20"/>
          <w:szCs w:val="20"/>
        </w:rPr>
      </w:pPr>
      <w:r>
        <w:rPr>
          <w:vertAlign w:val="superscript"/>
        </w:rPr>
        <w:footnoteRef/>
      </w:r>
      <w:r>
        <w:rPr>
          <w:sz w:val="20"/>
          <w:szCs w:val="20"/>
        </w:rPr>
        <w:t xml:space="preserve"> Carey, 2023</w:t>
      </w:r>
    </w:p>
  </w:footnote>
  <w:footnote w:id="11">
    <w:p w14:paraId="749EDD1F" w14:textId="77777777" w:rsidR="00B45F77" w:rsidRDefault="00352ED0">
      <w:pPr>
        <w:spacing w:line="240" w:lineRule="auto"/>
        <w:rPr>
          <w:sz w:val="20"/>
          <w:szCs w:val="20"/>
        </w:rPr>
      </w:pPr>
      <w:r>
        <w:rPr>
          <w:vertAlign w:val="superscript"/>
        </w:rPr>
        <w:footnoteRef/>
      </w:r>
      <w:r>
        <w:rPr>
          <w:sz w:val="20"/>
          <w:szCs w:val="20"/>
        </w:rPr>
        <w:t xml:space="preserve"> Hopkins et. al, 2023</w:t>
      </w:r>
    </w:p>
  </w:footnote>
  <w:footnote w:id="12">
    <w:p w14:paraId="749EDD20" w14:textId="77777777" w:rsidR="00B45F77" w:rsidRDefault="00352ED0">
      <w:pPr>
        <w:spacing w:line="240" w:lineRule="auto"/>
        <w:rPr>
          <w:sz w:val="20"/>
          <w:szCs w:val="20"/>
        </w:rPr>
      </w:pPr>
      <w:r>
        <w:rPr>
          <w:vertAlign w:val="superscript"/>
        </w:rPr>
        <w:footnoteRef/>
      </w:r>
      <w:r>
        <w:rPr>
          <w:sz w:val="20"/>
          <w:szCs w:val="20"/>
        </w:rPr>
        <w:t xml:space="preserve"> Canadian dollars</w:t>
      </w:r>
    </w:p>
  </w:footnote>
  <w:footnote w:id="13">
    <w:p w14:paraId="749EDD21" w14:textId="77777777" w:rsidR="00B45F77" w:rsidRDefault="00352ED0">
      <w:pPr>
        <w:spacing w:line="240" w:lineRule="auto"/>
        <w:rPr>
          <w:sz w:val="20"/>
          <w:szCs w:val="20"/>
        </w:rPr>
      </w:pPr>
      <w:r>
        <w:rPr>
          <w:vertAlign w:val="superscript"/>
        </w:rPr>
        <w:footnoteRef/>
      </w:r>
      <w:r>
        <w:rPr>
          <w:sz w:val="20"/>
          <w:szCs w:val="20"/>
        </w:rPr>
        <w:t xml:space="preserve"> National Resources Canada, 2023</w:t>
      </w:r>
    </w:p>
  </w:footnote>
  <w:footnote w:id="14">
    <w:p w14:paraId="749EDD22" w14:textId="77777777" w:rsidR="00B45F77" w:rsidRDefault="00352ED0">
      <w:pPr>
        <w:spacing w:line="240" w:lineRule="auto"/>
        <w:rPr>
          <w:sz w:val="20"/>
          <w:szCs w:val="20"/>
        </w:rPr>
      </w:pPr>
      <w:r>
        <w:rPr>
          <w:vertAlign w:val="superscript"/>
        </w:rPr>
        <w:footnoteRef/>
      </w:r>
      <w:r>
        <w:rPr>
          <w:sz w:val="20"/>
          <w:szCs w:val="20"/>
        </w:rPr>
        <w:t xml:space="preserve"> Solomon et al., 2019; Center for American Progress</w:t>
      </w:r>
    </w:p>
  </w:footnote>
  <w:footnote w:id="15">
    <w:p w14:paraId="749EDD23" w14:textId="77777777" w:rsidR="00B45F77" w:rsidRDefault="00352ED0">
      <w:pPr>
        <w:spacing w:line="240" w:lineRule="auto"/>
        <w:rPr>
          <w:sz w:val="20"/>
          <w:szCs w:val="20"/>
        </w:rPr>
      </w:pPr>
      <w:r>
        <w:rPr>
          <w:vertAlign w:val="superscript"/>
        </w:rPr>
        <w:footnoteRef/>
      </w:r>
      <w:r>
        <w:rPr>
          <w:sz w:val="20"/>
          <w:szCs w:val="20"/>
        </w:rPr>
        <w:t xml:space="preserve"> National (USA) Bureau of Economic Research</w:t>
      </w:r>
    </w:p>
  </w:footnote>
  <w:footnote w:id="16">
    <w:p w14:paraId="749EDD24" w14:textId="77777777" w:rsidR="00B45F77" w:rsidRPr="00D77036" w:rsidRDefault="00352ED0">
      <w:pPr>
        <w:spacing w:line="240" w:lineRule="auto"/>
        <w:rPr>
          <w:sz w:val="20"/>
          <w:szCs w:val="20"/>
          <w:lang w:val="de-DE"/>
        </w:rPr>
      </w:pPr>
      <w:r>
        <w:rPr>
          <w:vertAlign w:val="superscript"/>
        </w:rPr>
        <w:footnoteRef/>
      </w:r>
      <w:r w:rsidRPr="00D77036">
        <w:rPr>
          <w:sz w:val="20"/>
          <w:szCs w:val="20"/>
          <w:lang w:val="de-DE"/>
        </w:rPr>
        <w:t xml:space="preserve"> </w:t>
      </w:r>
      <w:r w:rsidRPr="00D77036">
        <w:rPr>
          <w:sz w:val="20"/>
          <w:szCs w:val="20"/>
          <w:lang w:val="de-DE"/>
        </w:rPr>
        <w:t>Xing et al., 2019</w:t>
      </w:r>
    </w:p>
  </w:footnote>
  <w:footnote w:id="17">
    <w:p w14:paraId="749EDD25" w14:textId="77777777" w:rsidR="00B45F77" w:rsidRPr="00D77036" w:rsidRDefault="00352ED0">
      <w:pPr>
        <w:spacing w:line="240" w:lineRule="auto"/>
        <w:rPr>
          <w:sz w:val="20"/>
          <w:szCs w:val="20"/>
          <w:lang w:val="de-DE"/>
        </w:rPr>
      </w:pPr>
      <w:r>
        <w:rPr>
          <w:vertAlign w:val="superscript"/>
        </w:rPr>
        <w:footnoteRef/>
      </w:r>
      <w:r w:rsidRPr="00D77036">
        <w:rPr>
          <w:sz w:val="20"/>
          <w:szCs w:val="20"/>
          <w:lang w:val="de-DE"/>
        </w:rPr>
        <w:t xml:space="preserve"> </w:t>
      </w:r>
      <w:r w:rsidRPr="00D77036">
        <w:rPr>
          <w:sz w:val="20"/>
          <w:szCs w:val="20"/>
          <w:lang w:val="de-DE"/>
        </w:rPr>
        <w:t>Winegarden, 2018</w:t>
      </w:r>
    </w:p>
  </w:footnote>
  <w:footnote w:id="18">
    <w:p w14:paraId="749EDD26" w14:textId="77777777" w:rsidR="00B45F77" w:rsidRPr="00D77036" w:rsidRDefault="00352ED0">
      <w:pPr>
        <w:spacing w:line="240" w:lineRule="auto"/>
        <w:rPr>
          <w:sz w:val="20"/>
          <w:szCs w:val="20"/>
          <w:lang w:val="de-DE"/>
        </w:rPr>
      </w:pPr>
      <w:r>
        <w:rPr>
          <w:vertAlign w:val="superscript"/>
        </w:rPr>
        <w:footnoteRef/>
      </w:r>
      <w:r w:rsidRPr="00D77036">
        <w:rPr>
          <w:sz w:val="20"/>
          <w:szCs w:val="20"/>
          <w:lang w:val="de-DE"/>
        </w:rPr>
        <w:t xml:space="preserve"> </w:t>
      </w:r>
      <w:r w:rsidRPr="00D77036">
        <w:rPr>
          <w:sz w:val="20"/>
          <w:szCs w:val="20"/>
          <w:lang w:val="de-DE"/>
        </w:rPr>
        <w:t>Nguyen, 2020; Margonelli, 2014</w:t>
      </w:r>
    </w:p>
  </w:footnote>
  <w:footnote w:id="19">
    <w:p w14:paraId="749EDD27" w14:textId="77777777" w:rsidR="00B45F77" w:rsidRDefault="00352ED0">
      <w:pPr>
        <w:spacing w:line="240" w:lineRule="auto"/>
        <w:rPr>
          <w:sz w:val="20"/>
          <w:szCs w:val="20"/>
        </w:rPr>
      </w:pPr>
      <w:r>
        <w:rPr>
          <w:vertAlign w:val="superscript"/>
        </w:rPr>
        <w:footnoteRef/>
      </w:r>
      <w:r>
        <w:rPr>
          <w:sz w:val="20"/>
          <w:szCs w:val="20"/>
        </w:rPr>
        <w:t xml:space="preserve"> </w:t>
      </w:r>
      <w:proofErr w:type="spellStart"/>
      <w:r>
        <w:rPr>
          <w:sz w:val="20"/>
          <w:szCs w:val="20"/>
        </w:rPr>
        <w:t>Malveux</w:t>
      </w:r>
      <w:proofErr w:type="spellEnd"/>
      <w:r>
        <w:rPr>
          <w:sz w:val="20"/>
          <w:szCs w:val="20"/>
        </w:rPr>
        <w:t>, 2019</w:t>
      </w:r>
    </w:p>
  </w:footnote>
  <w:footnote w:id="20">
    <w:p w14:paraId="749EDD28" w14:textId="77777777" w:rsidR="00B45F77" w:rsidRDefault="00352ED0">
      <w:pPr>
        <w:spacing w:line="240" w:lineRule="auto"/>
        <w:rPr>
          <w:sz w:val="20"/>
          <w:szCs w:val="20"/>
        </w:rPr>
      </w:pPr>
      <w:r>
        <w:rPr>
          <w:vertAlign w:val="superscript"/>
        </w:rPr>
        <w:footnoteRef/>
      </w:r>
      <w:r>
        <w:rPr>
          <w:sz w:val="20"/>
          <w:szCs w:val="20"/>
        </w:rPr>
        <w:t xml:space="preserve"> Shi et al.</w:t>
      </w:r>
    </w:p>
  </w:footnote>
  <w:footnote w:id="21">
    <w:p w14:paraId="749EDD29" w14:textId="77777777" w:rsidR="00B45F77" w:rsidRDefault="00352ED0">
      <w:pPr>
        <w:spacing w:line="240" w:lineRule="auto"/>
        <w:rPr>
          <w:sz w:val="20"/>
          <w:szCs w:val="20"/>
        </w:rPr>
      </w:pPr>
      <w:r>
        <w:rPr>
          <w:vertAlign w:val="superscript"/>
        </w:rPr>
        <w:footnoteRef/>
      </w:r>
      <w:r>
        <w:rPr>
          <w:sz w:val="20"/>
          <w:szCs w:val="20"/>
        </w:rPr>
        <w:t xml:space="preserve"> Return-on-investment</w:t>
      </w:r>
    </w:p>
  </w:footnote>
  <w:footnote w:id="22">
    <w:p w14:paraId="749EDD2A" w14:textId="77777777" w:rsidR="00B45F77" w:rsidRPr="00D77036" w:rsidRDefault="00352ED0">
      <w:pPr>
        <w:spacing w:line="240" w:lineRule="auto"/>
        <w:rPr>
          <w:sz w:val="20"/>
          <w:szCs w:val="20"/>
          <w:lang w:val="es-419"/>
        </w:rPr>
      </w:pPr>
      <w:r>
        <w:rPr>
          <w:vertAlign w:val="superscript"/>
        </w:rPr>
        <w:footnoteRef/>
      </w:r>
      <w:r w:rsidRPr="00D77036">
        <w:rPr>
          <w:sz w:val="20"/>
          <w:szCs w:val="20"/>
          <w:lang w:val="es-419"/>
        </w:rPr>
        <w:t xml:space="preserve"> Nguyen, 2020</w:t>
      </w:r>
    </w:p>
  </w:footnote>
  <w:footnote w:id="23">
    <w:p w14:paraId="749EDD2B" w14:textId="77777777" w:rsidR="00B45F77" w:rsidRPr="00D77036" w:rsidRDefault="00352ED0">
      <w:pPr>
        <w:spacing w:line="240" w:lineRule="auto"/>
        <w:rPr>
          <w:sz w:val="20"/>
          <w:szCs w:val="20"/>
          <w:lang w:val="es-419"/>
        </w:rPr>
      </w:pPr>
      <w:r>
        <w:rPr>
          <w:vertAlign w:val="superscript"/>
        </w:rPr>
        <w:footnoteRef/>
      </w:r>
      <w:r w:rsidRPr="00D77036">
        <w:rPr>
          <w:sz w:val="20"/>
          <w:szCs w:val="20"/>
          <w:lang w:val="es-419"/>
        </w:rPr>
        <w:t xml:space="preserve"> Nguyen, 2020; Natural Resources Canada, 2020</w:t>
      </w:r>
    </w:p>
  </w:footnote>
  <w:footnote w:id="24">
    <w:p w14:paraId="749EDD2C" w14:textId="77777777" w:rsidR="00B45F77" w:rsidRDefault="00352ED0">
      <w:pPr>
        <w:spacing w:line="240" w:lineRule="auto"/>
        <w:rPr>
          <w:sz w:val="20"/>
          <w:szCs w:val="20"/>
        </w:rPr>
      </w:pPr>
      <w:r>
        <w:rPr>
          <w:vertAlign w:val="superscript"/>
        </w:rPr>
        <w:footnoteRef/>
      </w:r>
      <w:r>
        <w:rPr>
          <w:sz w:val="20"/>
          <w:szCs w:val="20"/>
        </w:rPr>
        <w:t xml:space="preserve"> Hopkins et al., 2021</w:t>
      </w:r>
    </w:p>
  </w:footnote>
  <w:footnote w:id="25">
    <w:p w14:paraId="749EDD2D" w14:textId="77777777" w:rsidR="00B45F77" w:rsidRDefault="00352ED0">
      <w:pPr>
        <w:spacing w:line="240" w:lineRule="auto"/>
        <w:rPr>
          <w:sz w:val="20"/>
          <w:szCs w:val="20"/>
        </w:rPr>
      </w:pPr>
      <w:r>
        <w:rPr>
          <w:vertAlign w:val="superscript"/>
        </w:rPr>
        <w:footnoteRef/>
      </w:r>
      <w:r>
        <w:rPr>
          <w:sz w:val="20"/>
          <w:szCs w:val="20"/>
        </w:rPr>
        <w:t xml:space="preserve"> Hopkins et al., 2021; Shi et al., 2021</w:t>
      </w:r>
    </w:p>
  </w:footnote>
  <w:footnote w:id="26">
    <w:p w14:paraId="749EDD2E" w14:textId="77777777" w:rsidR="00B45F77" w:rsidRPr="00D77036" w:rsidRDefault="00352ED0">
      <w:pPr>
        <w:spacing w:line="240" w:lineRule="auto"/>
        <w:rPr>
          <w:sz w:val="20"/>
          <w:szCs w:val="20"/>
          <w:lang w:val="es-419"/>
        </w:rPr>
      </w:pPr>
      <w:r>
        <w:rPr>
          <w:vertAlign w:val="superscript"/>
        </w:rPr>
        <w:footnoteRef/>
      </w:r>
      <w:r w:rsidRPr="00D77036">
        <w:rPr>
          <w:sz w:val="20"/>
          <w:szCs w:val="20"/>
          <w:lang w:val="es-419"/>
        </w:rPr>
        <w:t xml:space="preserve"> IBO, 2017</w:t>
      </w:r>
    </w:p>
  </w:footnote>
  <w:footnote w:id="27">
    <w:p w14:paraId="749EDD2F" w14:textId="77777777" w:rsidR="00B45F77" w:rsidRPr="00D77036" w:rsidRDefault="00352ED0">
      <w:pPr>
        <w:spacing w:line="240" w:lineRule="auto"/>
        <w:rPr>
          <w:sz w:val="20"/>
          <w:szCs w:val="20"/>
          <w:lang w:val="es-419"/>
        </w:rPr>
      </w:pPr>
      <w:r>
        <w:rPr>
          <w:vertAlign w:val="superscript"/>
        </w:rPr>
        <w:footnoteRef/>
      </w:r>
      <w:r w:rsidRPr="00D77036">
        <w:rPr>
          <w:sz w:val="20"/>
          <w:szCs w:val="20"/>
          <w:lang w:val="es-419"/>
        </w:rPr>
        <w:t xml:space="preserve"> Nguyen, 2020</w:t>
      </w:r>
    </w:p>
  </w:footnote>
  <w:footnote w:id="28">
    <w:p w14:paraId="749EDD30" w14:textId="77777777" w:rsidR="00B45F77" w:rsidRPr="00D77036" w:rsidRDefault="00352ED0">
      <w:pPr>
        <w:spacing w:line="240" w:lineRule="auto"/>
        <w:rPr>
          <w:sz w:val="20"/>
          <w:szCs w:val="20"/>
          <w:lang w:val="es-419"/>
        </w:rPr>
      </w:pPr>
      <w:r>
        <w:rPr>
          <w:vertAlign w:val="superscript"/>
        </w:rPr>
        <w:footnoteRef/>
      </w:r>
      <w:r w:rsidRPr="00D77036">
        <w:rPr>
          <w:sz w:val="20"/>
          <w:szCs w:val="20"/>
          <w:lang w:val="es-419"/>
        </w:rPr>
        <w:t xml:space="preserve"> Shin et al., 2019</w:t>
      </w:r>
    </w:p>
  </w:footnote>
  <w:footnote w:id="29">
    <w:p w14:paraId="749EDD31" w14:textId="77777777" w:rsidR="00B45F77" w:rsidRDefault="00352ED0">
      <w:pPr>
        <w:spacing w:line="240" w:lineRule="auto"/>
        <w:rPr>
          <w:sz w:val="20"/>
          <w:szCs w:val="20"/>
        </w:rPr>
      </w:pPr>
      <w:r>
        <w:rPr>
          <w:vertAlign w:val="superscript"/>
        </w:rPr>
        <w:footnoteRef/>
      </w:r>
      <w:r>
        <w:rPr>
          <w:sz w:val="20"/>
          <w:szCs w:val="20"/>
        </w:rPr>
        <w:t xml:space="preserve"> Rubin &amp; St-Louis, 2016</w:t>
      </w:r>
    </w:p>
  </w:footnote>
  <w:footnote w:id="30">
    <w:p w14:paraId="749EDD32" w14:textId="77777777" w:rsidR="00B45F77" w:rsidRDefault="00352ED0">
      <w:pPr>
        <w:spacing w:line="240" w:lineRule="auto"/>
        <w:rPr>
          <w:sz w:val="20"/>
          <w:szCs w:val="20"/>
        </w:rPr>
      </w:pPr>
      <w:r>
        <w:rPr>
          <w:vertAlign w:val="superscript"/>
        </w:rPr>
        <w:footnoteRef/>
      </w:r>
      <w:r>
        <w:rPr>
          <w:sz w:val="20"/>
          <w:szCs w:val="20"/>
        </w:rPr>
        <w:t xml:space="preserve"> US Internal Revenue Service, 2022</w:t>
      </w:r>
    </w:p>
  </w:footnote>
  <w:footnote w:id="31">
    <w:p w14:paraId="749EDD33" w14:textId="77777777" w:rsidR="00B45F77" w:rsidRDefault="00352ED0">
      <w:pPr>
        <w:spacing w:line="240" w:lineRule="auto"/>
        <w:rPr>
          <w:sz w:val="20"/>
          <w:szCs w:val="20"/>
        </w:rPr>
      </w:pPr>
      <w:r>
        <w:rPr>
          <w:vertAlign w:val="superscript"/>
        </w:rPr>
        <w:footnoteRef/>
      </w:r>
      <w:r>
        <w:rPr>
          <w:sz w:val="20"/>
          <w:szCs w:val="20"/>
        </w:rPr>
        <w:t xml:space="preserve"> US Census </w:t>
      </w:r>
      <w:proofErr w:type="spellStart"/>
      <w:r>
        <w:rPr>
          <w:sz w:val="20"/>
          <w:szCs w:val="20"/>
        </w:rPr>
        <w:t>Beureau</w:t>
      </w:r>
      <w:proofErr w:type="spellEnd"/>
      <w:r>
        <w:rPr>
          <w:sz w:val="20"/>
          <w:szCs w:val="20"/>
        </w:rPr>
        <w:t>, 2021</w:t>
      </w:r>
    </w:p>
  </w:footnote>
  <w:footnote w:id="32">
    <w:p w14:paraId="749EDD34" w14:textId="77777777" w:rsidR="00B45F77" w:rsidRDefault="00352ED0">
      <w:pPr>
        <w:spacing w:line="240" w:lineRule="auto"/>
        <w:rPr>
          <w:sz w:val="20"/>
          <w:szCs w:val="20"/>
        </w:rPr>
      </w:pPr>
      <w:r>
        <w:rPr>
          <w:vertAlign w:val="superscript"/>
        </w:rPr>
        <w:footnoteRef/>
      </w:r>
      <w:r>
        <w:rPr>
          <w:sz w:val="20"/>
          <w:szCs w:val="20"/>
        </w:rPr>
        <w:t xml:space="preserve"> Shin et al., 2019; Nguyen, 2020</w:t>
      </w:r>
    </w:p>
  </w:footnote>
  <w:footnote w:id="33">
    <w:p w14:paraId="749EDD35" w14:textId="77777777" w:rsidR="00B45F77" w:rsidRPr="00D77036" w:rsidRDefault="00352ED0">
      <w:pPr>
        <w:spacing w:line="240" w:lineRule="auto"/>
        <w:rPr>
          <w:sz w:val="20"/>
          <w:szCs w:val="20"/>
          <w:lang w:val="de-DE"/>
        </w:rPr>
      </w:pPr>
      <w:r>
        <w:rPr>
          <w:vertAlign w:val="superscript"/>
        </w:rPr>
        <w:footnoteRef/>
      </w:r>
      <w:r w:rsidRPr="00D77036">
        <w:rPr>
          <w:sz w:val="20"/>
          <w:szCs w:val="20"/>
          <w:lang w:val="de-DE"/>
        </w:rPr>
        <w:t xml:space="preserve"> </w:t>
      </w:r>
      <w:r w:rsidRPr="00D77036">
        <w:rPr>
          <w:sz w:val="20"/>
          <w:szCs w:val="20"/>
          <w:lang w:val="de-DE"/>
        </w:rPr>
        <w:t>Nguyen, 2020; Hopkins et al., 2023</w:t>
      </w:r>
    </w:p>
  </w:footnote>
  <w:footnote w:id="34">
    <w:p w14:paraId="749EDD36" w14:textId="77777777" w:rsidR="00B45F77" w:rsidRPr="00D77036" w:rsidRDefault="00352ED0">
      <w:pPr>
        <w:spacing w:line="240" w:lineRule="auto"/>
        <w:rPr>
          <w:sz w:val="20"/>
          <w:szCs w:val="20"/>
          <w:lang w:val="de-DE"/>
        </w:rPr>
      </w:pPr>
      <w:r>
        <w:rPr>
          <w:vertAlign w:val="superscript"/>
        </w:rPr>
        <w:footnoteRef/>
      </w:r>
      <w:r w:rsidRPr="00D77036">
        <w:rPr>
          <w:sz w:val="20"/>
          <w:szCs w:val="20"/>
          <w:lang w:val="de-DE"/>
        </w:rPr>
        <w:t xml:space="preserve"> </w:t>
      </w:r>
      <w:r w:rsidRPr="00D77036">
        <w:rPr>
          <w:sz w:val="20"/>
          <w:szCs w:val="20"/>
          <w:lang w:val="de-DE"/>
        </w:rPr>
        <w:t>Lorentzen et al., 2017</w:t>
      </w:r>
    </w:p>
  </w:footnote>
  <w:footnote w:id="35">
    <w:p w14:paraId="749EDD37" w14:textId="77777777" w:rsidR="00B45F77" w:rsidRPr="00D77036" w:rsidRDefault="00352ED0">
      <w:pPr>
        <w:spacing w:line="240" w:lineRule="auto"/>
        <w:rPr>
          <w:sz w:val="20"/>
          <w:szCs w:val="20"/>
          <w:lang w:val="de-DE"/>
        </w:rPr>
      </w:pPr>
      <w:r>
        <w:rPr>
          <w:vertAlign w:val="superscript"/>
        </w:rPr>
        <w:footnoteRef/>
      </w:r>
      <w:r w:rsidRPr="00D77036">
        <w:rPr>
          <w:sz w:val="20"/>
          <w:szCs w:val="20"/>
          <w:lang w:val="de-DE"/>
        </w:rPr>
        <w:t xml:space="preserve"> </w:t>
      </w:r>
      <w:r w:rsidRPr="00D77036">
        <w:rPr>
          <w:sz w:val="20"/>
          <w:szCs w:val="20"/>
          <w:lang w:val="de-DE"/>
        </w:rPr>
        <w:t>Holland et al., 2016</w:t>
      </w:r>
    </w:p>
  </w:footnote>
  <w:footnote w:id="36">
    <w:p w14:paraId="749EDD38" w14:textId="77777777" w:rsidR="00B45F77" w:rsidRDefault="00352ED0">
      <w:pPr>
        <w:spacing w:line="240" w:lineRule="auto"/>
        <w:rPr>
          <w:sz w:val="20"/>
          <w:szCs w:val="20"/>
        </w:rPr>
      </w:pPr>
      <w:r>
        <w:rPr>
          <w:vertAlign w:val="superscript"/>
        </w:rPr>
        <w:footnoteRef/>
      </w:r>
      <w:r>
        <w:rPr>
          <w:sz w:val="20"/>
          <w:szCs w:val="20"/>
        </w:rPr>
        <w:t xml:space="preserve"> Nguyen, 2020; Holland et al., 2016</w:t>
      </w:r>
    </w:p>
  </w:footnote>
  <w:footnote w:id="37">
    <w:p w14:paraId="749EDD39" w14:textId="77777777" w:rsidR="00B45F77" w:rsidRDefault="00352ED0">
      <w:pPr>
        <w:spacing w:line="240" w:lineRule="auto"/>
        <w:rPr>
          <w:sz w:val="20"/>
          <w:szCs w:val="20"/>
        </w:rPr>
      </w:pPr>
      <w:r>
        <w:rPr>
          <w:vertAlign w:val="superscript"/>
        </w:rPr>
        <w:footnoteRef/>
      </w:r>
      <w:r>
        <w:rPr>
          <w:sz w:val="20"/>
          <w:szCs w:val="20"/>
        </w:rPr>
        <w:t xml:space="preserve"> Engineering Explained,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EDD12" w14:textId="77777777" w:rsidR="00B45F77" w:rsidRDefault="00352ED0">
    <w:pPr>
      <w:jc w:val="right"/>
    </w:pPr>
    <w:r>
      <w:fldChar w:fldCharType="begin"/>
    </w:r>
    <w:r>
      <w:instrText>PAGE</w:instrText>
    </w:r>
    <w:r>
      <w:fldChar w:fldCharType="separate"/>
    </w:r>
    <w:r w:rsidR="00D77036">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EDD14" w14:textId="77777777" w:rsidR="00B45F77" w:rsidRDefault="00352ED0">
    <w:pPr>
      <w:jc w:val="right"/>
    </w:pPr>
    <w:r>
      <w:fldChar w:fldCharType="begin"/>
    </w:r>
    <w:r>
      <w:instrText>PAGE</w:instrText>
    </w:r>
    <w:r>
      <w:fldChar w:fldCharType="separate"/>
    </w:r>
    <w:r w:rsidR="00D77036">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F77"/>
    <w:rsid w:val="0008777F"/>
    <w:rsid w:val="00352ED0"/>
    <w:rsid w:val="00956B3F"/>
    <w:rsid w:val="00B45F77"/>
    <w:rsid w:val="00D77036"/>
    <w:rsid w:val="00FB0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DCA0"/>
  <w15:docId w15:val="{2DB70312-C689-41EF-885C-2660D194D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18</Pages>
  <Words>4978</Words>
  <Characters>31861</Characters>
  <Application>Microsoft Office Word</Application>
  <DocSecurity>0</DocSecurity>
  <Lines>590</Lines>
  <Paragraphs>466</Paragraphs>
  <ScaleCrop>false</ScaleCrop>
  <Company/>
  <LinksUpToDate>false</LinksUpToDate>
  <CharactersWithSpaces>36373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Sethi, Keshav</cp:lastModifiedBy>
  <cp:revision>3</cp:revision>
  <dcterms:created xsi:type="dcterms:W3CDTF">2026-10-12T17:42:00Z</dcterms:created>
  <dcterms:modified xsi:type="dcterms:W3CDTF">2026-10-12T17:44:00Z</dcterms:modified>
</cp:coreProperties>
</file>