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TallyPrime TDL Collection Type Notes</w:t>
      </w:r>
    </w:p>
    <w:p>
      <w:pPr>
        <w:jc w:val="center"/>
      </w:pPr>
      <w:r>
        <w:rPr>
          <w:i/>
        </w:rPr>
        <w:t>Observed behaviour, candidate object types, and a safe testing plan</w:t>
      </w:r>
    </w:p>
    <w:p>
      <w:pPr>
        <w:pStyle w:val="Heading1"/>
      </w:pPr>
      <w:r>
        <w:t>1. Purpose</w:t>
      </w:r>
    </w:p>
    <w:p>
      <w:r>
        <w:t>A working reference for exploring TallyPrime collection object types through HTTP XML requests. It records observed behaviour in the current mani9 company and separates verified results from candidates. It is not an exhaustive official list of every valid type.</w:t>
      </w:r>
    </w:p>
    <w:p>
      <w:pPr>
        <w:pStyle w:val="Heading1"/>
      </w:pPr>
      <w:r>
        <w:t>2. Verified in the current environment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Type / feature</w:t>
            </w:r>
          </w:p>
        </w:tc>
        <w:tc>
          <w:tcPr>
            <w:tcW w:type="dxa" w:w="3360"/>
          </w:tcPr>
          <w:p>
            <w:r>
              <w:t>Observation</w:t>
            </w:r>
          </w:p>
        </w:tc>
        <w:tc>
          <w:tcPr>
            <w:tcW w:type="dxa" w:w="3360"/>
          </w:tcPr>
          <w:p>
            <w:r>
              <w:t>Status</w:t>
            </w:r>
          </w:p>
        </w:tc>
      </w:tr>
      <w:tr>
        <w:tc>
          <w:tcPr>
            <w:tcW w:type="dxa" w:w="3360"/>
            <w:vAlign w:val="top"/>
          </w:tcPr>
          <w:p>
            <w:r>
              <w:t>StockItem</w:t>
            </w:r>
          </w:p>
        </w:tc>
        <w:tc>
          <w:tcPr>
            <w:tcW w:type="dxa" w:w="3360"/>
            <w:vAlign w:val="top"/>
          </w:tcPr>
          <w:p>
            <w:r>
              <w:t>Used as the loop collection for stock items.</w:t>
            </w:r>
          </w:p>
        </w:tc>
        <w:tc>
          <w:tcPr>
            <w:tcW w:type="dxa" w:w="3360"/>
            <w:vAlign w:val="top"/>
          </w:tcPr>
          <w:p>
            <w:r>
              <w:t>Used successfully</w:t>
            </w:r>
          </w:p>
        </w:tc>
      </w:tr>
      <w:tr>
        <w:tc>
          <w:tcPr>
            <w:tcW w:type="dxa" w:w="3360"/>
            <w:vAlign w:val="top"/>
          </w:tcPr>
          <w:p>
            <w:r>
              <w:t>Batch</w:t>
            </w:r>
          </w:p>
        </w:tc>
        <w:tc>
          <w:tcPr>
            <w:tcW w:type="dxa" w:w="3360"/>
            <w:vAlign w:val="top"/>
          </w:tcPr>
          <w:p>
            <w:r>
              <w:t>Returned batch records with Name, Parent, ClosingBalance, ClosingValue when explicitly fetched.</w:t>
            </w:r>
          </w:p>
        </w:tc>
        <w:tc>
          <w:tcPr>
            <w:tcW w:type="dxa" w:w="3360"/>
            <w:vAlign w:val="top"/>
          </w:tcPr>
          <w:p>
            <w:r>
              <w:t>Verified</w:t>
            </w:r>
          </w:p>
        </w:tc>
      </w:tr>
      <w:tr>
        <w:tc>
          <w:tcPr>
            <w:tcW w:type="dxa" w:w="3360"/>
            <w:vAlign w:val="top"/>
          </w:tcPr>
          <w:p>
            <w:r>
              <w:t>Batch Parent</w:t>
            </w:r>
          </w:p>
        </w:tc>
        <w:tc>
          <w:tcPr>
            <w:tcW w:type="dxa" w:w="3360"/>
            <w:vAlign w:val="top"/>
          </w:tcPr>
          <w:p>
            <w:r>
              <w:t>PARENT identifies the stock item; e.g. Triple-3/0-Rs.10.40 → Viaadi Hooks.</w:t>
            </w:r>
          </w:p>
        </w:tc>
        <w:tc>
          <w:tcPr>
            <w:tcW w:type="dxa" w:w="3360"/>
            <w:vAlign w:val="top"/>
          </w:tcPr>
          <w:p>
            <w:r>
              <w:t>Verified</w:t>
            </w:r>
          </w:p>
        </w:tc>
      </w:tr>
      <w:tr>
        <w:tc>
          <w:tcPr>
            <w:tcW w:type="dxa" w:w="3360"/>
            <w:vAlign w:val="top"/>
          </w:tcPr>
          <w:p>
            <w:r>
              <w:t>Collection looping</w:t>
            </w:r>
          </w:p>
        </w:tc>
        <w:tc>
          <w:tcPr>
            <w:tcW w:type="dxa" w:w="3360"/>
            <w:vAlign w:val="top"/>
          </w:tcPr>
          <w:p>
            <w:r>
              <w:t>Outer collection loops the batch collection over stock items using COLLECTIONS and $$LoopCollObj:$Name.</w:t>
            </w:r>
          </w:p>
        </w:tc>
        <w:tc>
          <w:tcPr>
            <w:tcW w:type="dxa" w:w="3360"/>
            <w:vAlign w:val="top"/>
          </w:tcPr>
          <w:p>
            <w:r>
              <w:t>Verified by successful response</w:t>
            </w:r>
          </w:p>
        </w:tc>
      </w:tr>
      <w:tr>
        <w:tc>
          <w:tcPr>
            <w:tcW w:type="dxa" w:w="3360"/>
            <w:vAlign w:val="top"/>
          </w:tcPr>
          <w:p>
            <w:r>
              <w:t>Bill</w:t>
            </w:r>
          </w:p>
        </w:tc>
        <w:tc>
          <w:tcPr>
            <w:tcW w:type="dxa" w:w="3360"/>
            <w:vAlign w:val="top"/>
          </w:tcPr>
          <w:p>
            <w:r>
              <w:t>TYPE Bill with FETCH * returned a large response (about 12.58 MB shown by VS Code). The structure is not yet understood.</w:t>
            </w:r>
          </w:p>
        </w:tc>
        <w:tc>
          <w:tcPr>
            <w:tcW w:type="dxa" w:w="3360"/>
            <w:vAlign w:val="top"/>
          </w:tcPr>
          <w:p>
            <w:r>
              <w:t>Responds; inspect narrowly</w:t>
            </w:r>
          </w:p>
        </w:tc>
      </w:tr>
      <w:tr>
        <w:tc>
          <w:tcPr>
            <w:tcW w:type="dxa" w:w="3360"/>
            <w:vAlign w:val="top"/>
          </w:tcPr>
          <w:p>
            <w:r>
              <w:t>Stock Summary</w:t>
            </w:r>
          </w:p>
        </w:tc>
        <w:tc>
          <w:tcPr>
            <w:tcW w:type="dxa" w:w="3360"/>
            <w:vAlign w:val="top"/>
          </w:tcPr>
          <w:p>
            <w:r>
              <w:t>Built-in report returned summary balances, not the required batch-wise closing details.</w:t>
            </w:r>
          </w:p>
        </w:tc>
        <w:tc>
          <w:tcPr>
            <w:tcW w:type="dxa" w:w="3360"/>
            <w:vAlign w:val="top"/>
          </w:tcPr>
          <w:p>
            <w:r>
              <w:t>Verified</w:t>
            </w:r>
          </w:p>
        </w:tc>
      </w:tr>
    </w:tbl>
    <w:p>
      <w:pPr>
        <w:pStyle w:val="Heading1"/>
      </w:pPr>
      <w:r>
        <w:t>3. Working pattern: batches linked to parent stock item</w:t>
      </w:r>
    </w:p>
    <w:p>
      <w:r>
        <w:t>The successful collection pattern uses a StockItem loop and a child Batch collection:</w:t>
      </w:r>
    </w:p>
    <w:p>
      <w:r>
        <w:rPr>
          <w:rFonts w:ascii="Consolas" w:hAnsi="Consolas"/>
          <w:sz w:val="18"/>
        </w:rPr>
        <w:t>&lt;COLLECTION NAME="KSAllBatchBalances"&gt;</w:t>
        <w:br/>
        <w:t xml:space="preserve">    &lt;COLLECTIONS&gt;KSBatchBalances:KSStockItems&lt;/COLLECTIONS&gt;</w:t>
        <w:br/>
        <w:t>&lt;/COLLECTION&gt;</w:t>
        <w:br/>
        <w:br/>
        <w:t>&lt;COLLECTION NAME="KSStockItems"&gt;</w:t>
        <w:br/>
        <w:t xml:space="preserve">    &lt;TYPE&gt;StockItem&lt;/TYPE&gt;</w:t>
        <w:br/>
        <w:t xml:space="preserve">    &lt;FETCH&gt;Name&lt;/FETCH&gt;</w:t>
        <w:br/>
        <w:t>&lt;/COLLECTION&gt;</w:t>
        <w:br/>
        <w:br/>
        <w:t>&lt;COLLECTION NAME="KSBatchBalances"&gt;</w:t>
        <w:br/>
        <w:t xml:space="preserve">    &lt;TYPE&gt;Batch&lt;/TYPE&gt;</w:t>
        <w:br/>
        <w:t xml:space="preserve">    &lt;CHILDOF&gt;$$LoopCollObj:$Name&lt;/CHILDOF&gt;</w:t>
        <w:br/>
        <w:t xml:space="preserve">    &lt;FETCH&gt;Name&lt;/FETCH&gt;</w:t>
        <w:br/>
        <w:t xml:space="preserve">    &lt;FETCH&gt;Parent&lt;/FETCH&gt;</w:t>
        <w:br/>
        <w:t xml:space="preserve">    &lt;FETCH&gt;ClosingBalance&lt;/FETCH&gt;</w:t>
        <w:br/>
        <w:t xml:space="preserve">    &lt;FETCH&gt;ClosingValue&lt;/FETCH&gt;</w:t>
        <w:br/>
        <w:t>&lt;/COLLECTION&gt;</w:t>
      </w:r>
    </w:p>
    <w:p>
      <w:r>
        <w:t>Useful fields per batch: batch name, parent stock item, closing quantity, and closing value. Preserve the exact working request file as the baseline.</w:t>
      </w:r>
    </w:p>
    <w:p>
      <w:pPr>
        <w:pStyle w:val="Heading1"/>
      </w:pPr>
      <w:r>
        <w:t>4. Candidate object types to catalogue</w:t>
      </w:r>
    </w:p>
    <w:p>
      <w:r>
        <w:t>These are documented or commonly used TDL object-type candidates, not a guarantee that each works as a standalone collection in every TallyPrime version/company.</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Candidate TYPE</w:t>
            </w:r>
          </w:p>
        </w:tc>
        <w:tc>
          <w:tcPr>
            <w:tcW w:type="dxa" w:w="3360"/>
          </w:tcPr>
          <w:p>
            <w:r>
              <w:t>Concept</w:t>
            </w:r>
          </w:p>
        </w:tc>
        <w:tc>
          <w:tcPr>
            <w:tcW w:type="dxa" w:w="3360"/>
          </w:tcPr>
          <w:p>
            <w:r>
              <w:t>Status in this project</w:t>
            </w:r>
          </w:p>
        </w:tc>
      </w:tr>
      <w:tr>
        <w:tc>
          <w:tcPr>
            <w:tcW w:type="dxa" w:w="3360"/>
            <w:vAlign w:val="top"/>
          </w:tcPr>
          <w:p>
            <w:r>
              <w:t>Company</w:t>
            </w:r>
          </w:p>
        </w:tc>
        <w:tc>
          <w:tcPr>
            <w:tcW w:type="dxa" w:w="3360"/>
            <w:vAlign w:val="top"/>
          </w:tcPr>
          <w:p>
            <w:r>
              <w:t>Company/master information</w:t>
            </w:r>
          </w:p>
        </w:tc>
        <w:tc>
          <w:tcPr>
            <w:tcW w:type="dxa" w:w="3360"/>
            <w:vAlign w:val="top"/>
          </w:tcPr>
          <w:p>
            <w:r>
              <w:t>Not tested here</w:t>
            </w:r>
          </w:p>
        </w:tc>
      </w:tr>
      <w:tr>
        <w:tc>
          <w:tcPr>
            <w:tcW w:type="dxa" w:w="3360"/>
            <w:vAlign w:val="top"/>
          </w:tcPr>
          <w:p>
            <w:r>
              <w:t>Group</w:t>
            </w:r>
          </w:p>
        </w:tc>
        <w:tc>
          <w:tcPr>
            <w:tcW w:type="dxa" w:w="3360"/>
            <w:vAlign w:val="top"/>
          </w:tcPr>
          <w:p>
            <w:r>
              <w:t>Accounting groups</w:t>
            </w:r>
          </w:p>
        </w:tc>
        <w:tc>
          <w:tcPr>
            <w:tcW w:type="dxa" w:w="3360"/>
            <w:vAlign w:val="top"/>
          </w:tcPr>
          <w:p>
            <w:r>
              <w:t>Documented candidate</w:t>
            </w:r>
          </w:p>
        </w:tc>
      </w:tr>
      <w:tr>
        <w:tc>
          <w:tcPr>
            <w:tcW w:type="dxa" w:w="3360"/>
            <w:vAlign w:val="top"/>
          </w:tcPr>
          <w:p>
            <w:r>
              <w:t>Ledger</w:t>
            </w:r>
          </w:p>
        </w:tc>
        <w:tc>
          <w:tcPr>
            <w:tcW w:type="dxa" w:w="3360"/>
            <w:vAlign w:val="top"/>
          </w:tcPr>
          <w:p>
            <w:r>
              <w:t>Accounting ledgers</w:t>
            </w:r>
          </w:p>
        </w:tc>
        <w:tc>
          <w:tcPr>
            <w:tcW w:type="dxa" w:w="3360"/>
            <w:vAlign w:val="top"/>
          </w:tcPr>
          <w:p>
            <w:r>
              <w:t>Documented candidate</w:t>
            </w:r>
          </w:p>
        </w:tc>
      </w:tr>
      <w:tr>
        <w:tc>
          <w:tcPr>
            <w:tcW w:type="dxa" w:w="3360"/>
            <w:vAlign w:val="top"/>
          </w:tcPr>
          <w:p>
            <w:r>
              <w:t>StockGroup</w:t>
            </w:r>
          </w:p>
        </w:tc>
        <w:tc>
          <w:tcPr>
            <w:tcW w:type="dxa" w:w="3360"/>
            <w:vAlign w:val="top"/>
          </w:tcPr>
          <w:p>
            <w:r>
              <w:t>Inventory stock groups</w:t>
            </w:r>
          </w:p>
        </w:tc>
        <w:tc>
          <w:tcPr>
            <w:tcW w:type="dxa" w:w="3360"/>
            <w:vAlign w:val="top"/>
          </w:tcPr>
          <w:p>
            <w:r>
              <w:t>Documented candidate</w:t>
            </w:r>
          </w:p>
        </w:tc>
      </w:tr>
      <w:tr>
        <w:tc>
          <w:tcPr>
            <w:tcW w:type="dxa" w:w="3360"/>
            <w:vAlign w:val="top"/>
          </w:tcPr>
          <w:p>
            <w:r>
              <w:t>StockItem</w:t>
            </w:r>
          </w:p>
        </w:tc>
        <w:tc>
          <w:tcPr>
            <w:tcW w:type="dxa" w:w="3360"/>
            <w:vAlign w:val="top"/>
          </w:tcPr>
          <w:p>
            <w:r>
              <w:t>Inventory items</w:t>
            </w:r>
          </w:p>
        </w:tc>
        <w:tc>
          <w:tcPr>
            <w:tcW w:type="dxa" w:w="3360"/>
            <w:vAlign w:val="top"/>
          </w:tcPr>
          <w:p>
            <w:r>
              <w:t>Used in working loop</w:t>
            </w:r>
          </w:p>
        </w:tc>
      </w:tr>
      <w:tr>
        <w:tc>
          <w:tcPr>
            <w:tcW w:type="dxa" w:w="3360"/>
            <w:vAlign w:val="top"/>
          </w:tcPr>
          <w:p>
            <w:r>
              <w:t>Voucher</w:t>
            </w:r>
          </w:p>
        </w:tc>
        <w:tc>
          <w:tcPr>
            <w:tcW w:type="dxa" w:w="3360"/>
            <w:vAlign w:val="top"/>
          </w:tcPr>
          <w:p>
            <w:r>
              <w:t>Transactions/vouchers</w:t>
            </w:r>
          </w:p>
        </w:tc>
        <w:tc>
          <w:tcPr>
            <w:tcW w:type="dxa" w:w="3360"/>
            <w:vAlign w:val="top"/>
          </w:tcPr>
          <w:p>
            <w:r>
              <w:t>Not tested in this exercise</w:t>
            </w:r>
          </w:p>
        </w:tc>
      </w:tr>
      <w:tr>
        <w:tc>
          <w:tcPr>
            <w:tcW w:type="dxa" w:w="3360"/>
            <w:vAlign w:val="top"/>
          </w:tcPr>
          <w:p>
            <w:r>
              <w:t>VoucherType</w:t>
            </w:r>
          </w:p>
        </w:tc>
        <w:tc>
          <w:tcPr>
            <w:tcW w:type="dxa" w:w="3360"/>
            <w:vAlign w:val="top"/>
          </w:tcPr>
          <w:p>
            <w:r>
              <w:t>Voucher-type definitions</w:t>
            </w:r>
          </w:p>
        </w:tc>
        <w:tc>
          <w:tcPr>
            <w:tcW w:type="dxa" w:w="3360"/>
            <w:vAlign w:val="top"/>
          </w:tcPr>
          <w:p>
            <w:r>
              <w:t>Exact behaviour to test</w:t>
            </w:r>
          </w:p>
        </w:tc>
      </w:tr>
      <w:tr>
        <w:tc>
          <w:tcPr>
            <w:tcW w:type="dxa" w:w="3360"/>
            <w:vAlign w:val="top"/>
          </w:tcPr>
          <w:p>
            <w:r>
              <w:t>CostCentre</w:t>
            </w:r>
          </w:p>
        </w:tc>
        <w:tc>
          <w:tcPr>
            <w:tcW w:type="dxa" w:w="3360"/>
            <w:vAlign w:val="top"/>
          </w:tcPr>
          <w:p>
            <w:r>
              <w:t>Cost centres</w:t>
            </w:r>
          </w:p>
        </w:tc>
        <w:tc>
          <w:tcPr>
            <w:tcW w:type="dxa" w:w="3360"/>
            <w:vAlign w:val="top"/>
          </w:tcPr>
          <w:p>
            <w:r>
              <w:t>Documented candidate</w:t>
            </w:r>
          </w:p>
        </w:tc>
      </w:tr>
      <w:tr>
        <w:tc>
          <w:tcPr>
            <w:tcW w:type="dxa" w:w="3360"/>
            <w:vAlign w:val="top"/>
          </w:tcPr>
          <w:p>
            <w:r>
              <w:t>Budget</w:t>
            </w:r>
          </w:p>
        </w:tc>
        <w:tc>
          <w:tcPr>
            <w:tcW w:type="dxa" w:w="3360"/>
            <w:vAlign w:val="top"/>
          </w:tcPr>
          <w:p>
            <w:r>
              <w:t>Budget objects</w:t>
            </w:r>
          </w:p>
        </w:tc>
        <w:tc>
          <w:tcPr>
            <w:tcW w:type="dxa" w:w="3360"/>
            <w:vAlign w:val="top"/>
          </w:tcPr>
          <w:p>
            <w:r>
              <w:t>Candidate; not tested</w:t>
            </w:r>
          </w:p>
        </w:tc>
      </w:tr>
      <w:tr>
        <w:tc>
          <w:tcPr>
            <w:tcW w:type="dxa" w:w="3360"/>
            <w:vAlign w:val="top"/>
          </w:tcPr>
          <w:p>
            <w:r>
              <w:t>Unit</w:t>
            </w:r>
          </w:p>
        </w:tc>
        <w:tc>
          <w:tcPr>
            <w:tcW w:type="dxa" w:w="3360"/>
            <w:vAlign w:val="top"/>
          </w:tcPr>
          <w:p>
            <w:r>
              <w:t>Units of measure</w:t>
            </w:r>
          </w:p>
        </w:tc>
        <w:tc>
          <w:tcPr>
            <w:tcW w:type="dxa" w:w="3360"/>
            <w:vAlign w:val="top"/>
          </w:tcPr>
          <w:p>
            <w:r>
              <w:t>Verify exact accepted type name</w:t>
            </w:r>
          </w:p>
        </w:tc>
      </w:tr>
      <w:tr>
        <w:tc>
          <w:tcPr>
            <w:tcW w:type="dxa" w:w="3360"/>
            <w:vAlign w:val="top"/>
          </w:tcPr>
          <w:p>
            <w:r>
              <w:t>Batch</w:t>
            </w:r>
          </w:p>
        </w:tc>
        <w:tc>
          <w:tcPr>
            <w:tcW w:type="dxa" w:w="3360"/>
            <w:vAlign w:val="top"/>
          </w:tcPr>
          <w:p>
            <w:r>
              <w:t>Batch sub-objects associated with stock items</w:t>
            </w:r>
          </w:p>
        </w:tc>
        <w:tc>
          <w:tcPr>
            <w:tcW w:type="dxa" w:w="3360"/>
            <w:vAlign w:val="top"/>
          </w:tcPr>
          <w:p>
            <w:r>
              <w:t>Verified; parent context matters</w:t>
            </w:r>
          </w:p>
        </w:tc>
      </w:tr>
      <w:tr>
        <w:tc>
          <w:tcPr>
            <w:tcW w:type="dxa" w:w="3360"/>
            <w:vAlign w:val="top"/>
          </w:tcPr>
          <w:p>
            <w:r>
              <w:t>Bill</w:t>
            </w:r>
          </w:p>
        </w:tc>
        <w:tc>
          <w:tcPr>
            <w:tcW w:type="dxa" w:w="3360"/>
            <w:vAlign w:val="top"/>
          </w:tcPr>
          <w:p>
            <w:r>
              <w:t>Bill-related records/objects</w:t>
            </w:r>
          </w:p>
        </w:tc>
        <w:tc>
          <w:tcPr>
            <w:tcW w:type="dxa" w:w="3360"/>
            <w:vAlign w:val="top"/>
          </w:tcPr>
          <w:p>
            <w:r>
              <w:t>Responds; structure not yet understood</w:t>
            </w:r>
          </w:p>
        </w:tc>
      </w:tr>
    </w:tbl>
    <w:p>
      <w:pPr>
        <w:pStyle w:val="Heading1"/>
      </w:pPr>
      <w:r>
        <w:t>5. What counts as a “valid type” in this reference</w:t>
      </w:r>
    </w:p>
    <w:p>
      <w:r>
        <w:t>Mark a type Verified only after a real request is tested and its returned records are understood. A response that is empty, huge, or opaque is not enough to establish useful behaviour. For each test, record exact TYPE spelling, parent context, FETCH fields, response size, whether records were returned, and a small XML sample.</w:t>
      </w:r>
    </w:p>
    <w:p>
      <w:pPr>
        <w:pStyle w:val="ListBullet"/>
      </w:pPr>
      <w:r>
        <w:t>Verified — tested successfully and returned records/fields are understood.</w:t>
      </w:r>
    </w:p>
    <w:p>
      <w:pPr>
        <w:pStyle w:val="ListBullet"/>
      </w:pPr>
      <w:r>
        <w:t>Responds — Tally returned data, but the object meaning or record structure is not yet understood.</w:t>
      </w:r>
    </w:p>
    <w:p>
      <w:pPr>
        <w:pStyle w:val="ListBullet"/>
      </w:pPr>
      <w:r>
        <w:t>Documented candidate — mentioned in official TDL documentation but not tested in this installation.</w:t>
      </w:r>
    </w:p>
    <w:p>
      <w:pPr>
        <w:pStyle w:val="ListBullet"/>
      </w:pPr>
      <w:r>
        <w:t>Failed/empty — tested request returned an error or no records; keep the exact request and response.</w:t>
      </w:r>
    </w:p>
    <w:p>
      <w:pPr>
        <w:pStyle w:val="Heading1"/>
      </w:pPr>
      <w:r>
        <w:t>6. Bill: safer next experiment</w:t>
      </w:r>
    </w:p>
    <w:p>
      <w:r>
        <w:t>The previous request used TYPE Bill with FETCH *. That produced a very large response. For the next experiment, keep the same envelope but replace FETCH * with one field to inspect the collection without dumping every method.</w:t>
      </w:r>
    </w:p>
    <w:p>
      <w:r>
        <w:rPr>
          <w:rFonts w:ascii="Consolas" w:hAnsi="Consolas"/>
          <w:sz w:val="18"/>
        </w:rPr>
        <w:t>&lt;COLLECTION NAME="KSAllBillRecords"&gt;</w:t>
        <w:br/>
        <w:t xml:space="preserve">    &lt;TYPE&gt;Bill&lt;/TYPE&gt;</w:t>
        <w:br/>
        <w:t xml:space="preserve">    &lt;FETCH&gt;Name&lt;/FETCH&gt;</w:t>
        <w:br/>
        <w:t>&lt;/COLLECTION&gt;</w:t>
      </w:r>
    </w:p>
    <w:p>
      <w:r>
        <w:t>This is a diagnostic test, not a claim that Name is the correct or complete Bill key. If Name is absent or unhelpful, test another field separately rather than restoring FETCH *.</w:t>
      </w:r>
    </w:p>
    <w:p>
      <w:r>
        <w:t>FETCH reduces the fields returned; it does not necessarily limit the number of records. If the response is still large, investigate a documented Filter or parent-context constraint. Do not assume an unverified record-limit attribute.</w:t>
      </w:r>
    </w:p>
    <w:p>
      <w:pPr>
        <w:pStyle w:val="Heading1"/>
      </w:pPr>
      <w:r>
        <w:t>7. Suggested testing order</w:t>
      </w:r>
    </w:p>
    <w:p>
      <w:pPr>
        <w:pStyle w:val="ListNumber"/>
      </w:pPr>
      <w:r>
        <w:t>Preserve the working Batch request unchanged.</w:t>
      </w:r>
    </w:p>
    <w:p>
      <w:pPr>
        <w:pStyle w:val="ListNumber"/>
      </w:pPr>
      <w:r>
        <w:t>Test one candidate TYPE per new .http file.</w:t>
      </w:r>
    </w:p>
    <w:p>
      <w:pPr>
        <w:pStyle w:val="ListNumber"/>
      </w:pPr>
      <w:r>
        <w:t>Start with FETCH Name or another minimum known field instead of FETCH *.</w:t>
      </w:r>
    </w:p>
    <w:p>
      <w:pPr>
        <w:pStyle w:val="ListNumber"/>
      </w:pPr>
      <w:r>
        <w:t>If a type needs a parent, test it in a known parent context, as with Batch under StockItem.</w:t>
      </w:r>
    </w:p>
    <w:p>
      <w:pPr>
        <w:pStyle w:val="ListNumber"/>
      </w:pPr>
      <w:r>
        <w:t>Record a small XML sample, response size, and conclusion.</w:t>
      </w:r>
    </w:p>
    <w:p>
      <w:pPr>
        <w:pStyle w:val="ListNumber"/>
      </w:pPr>
      <w:r>
        <w:t>Promote a candidate to Verified only when the returned records are interpretable.</w:t>
      </w:r>
    </w:p>
    <w:p>
      <w:pPr>
        <w:pStyle w:val="Heading1"/>
      </w:pPr>
      <w:r>
        <w:t>8. Official references</w:t>
      </w:r>
    </w:p>
    <w:p>
      <w:pPr>
        <w:pStyle w:val="ListBullet"/>
      </w:pPr>
      <w:r>
        <w:t>TallyHelp — Objects and Collections: https://help.tallysolutions.com/developer-reference/tally-definition-language/objects-and-collections/</w:t>
      </w:r>
    </w:p>
    <w:p>
      <w:pPr>
        <w:pStyle w:val="ListBullet"/>
      </w:pPr>
      <w:r>
        <w:t>TallyHelp — General and Collection Enhancements: https://help.tallysolutions.com/article/DeveloperReference/tdlreference/general_and_collection_enhancements.htm</w:t>
      </w:r>
    </w:p>
    <w:p>
      <w:pPr>
        <w:pStyle w:val="ListBullet"/>
      </w:pPr>
      <w:r>
        <w:t>TallyHelp — Objects and Collections (older reference): https://help.tallysolutions.com/docs/td9rel54/tdlreference/objects_and_collections.htm</w:t>
      </w:r>
    </w:p>
    <w:p>
      <w:r>
        <w:t>Scope note: official references explain collection concepts and provide examples, but the sources reviewed do not provide one exhaustive, version-independent list of every valid internal object type. This document therefore separates tested results from candidates.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