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pPr>
              <w:spacing w:before="0" w:after="20" w:line="240" w:lineRule="auto"/>
            </w:pPr>
            <w:r>
              <w:rPr>
                <w:rFonts w:ascii="Arial" w:hAnsi="Arial"/>
                <w:sz w:val="18"/>
              </w:rPr>
              <w:t>27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before="0" w:after="20" w:line="240" w:lineRule="auto"/>
            </w:pPr>
            <w:r>
              <w:rPr>
                <w:rFonts w:ascii="Arial" w:hAnsi="Arial"/>
                <w:sz w:val="18"/>
              </w:rPr>
              <w:t>Not provided by user</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before="0" w:after="20" w:line="240" w:lineRule="auto"/>
            </w:pPr>
            <w:r>
              <w:rPr>
                <w:rFonts w:ascii="Arial" w:hAnsi="Arial"/>
                <w:sz w:val="18"/>
              </w:rPr>
              <w:t>Global Olympic Sports Performance Analysis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Pr>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vAlign w:val="center"/>
          </w:tcPr>
          <w:p>
            <w:pPr>
              <w:spacing w:before="0" w:after="20" w:line="240" w:lineRule="auto"/>
            </w:pPr>
            <w:r>
              <w:rPr>
                <w:rFonts w:ascii="Arial" w:hAnsi="Arial"/>
                <w:sz w:val="14"/>
              </w:rPr>
              <w:t>PS-1</w:t>
            </w:r>
          </w:p>
        </w:tc>
        <w:tc>
          <w:tcPr>
            <w:vAlign w:val="center"/>
          </w:tcPr>
          <w:p>
            <w:pPr>
              <w:spacing w:before="0" w:after="20" w:line="240" w:lineRule="auto"/>
            </w:pPr>
            <w:r>
              <w:rPr>
                <w:rFonts w:ascii="Arial" w:hAnsi="Arial"/>
                <w:sz w:val="14"/>
              </w:rPr>
              <w:t>A student or sports analyst</w:t>
            </w:r>
          </w:p>
        </w:tc>
        <w:tc>
          <w:tcPr>
            <w:vAlign w:val="center"/>
          </w:tcPr>
          <w:p>
            <w:pPr>
              <w:spacing w:before="0" w:after="20" w:line="240" w:lineRule="auto"/>
            </w:pPr>
            <w:r>
              <w:rPr>
                <w:rFonts w:ascii="Arial" w:hAnsi="Arial"/>
                <w:sz w:val="14"/>
              </w:rPr>
              <w:t>Compare Olympic medal outcomes across countries and years</w:t>
            </w:r>
          </w:p>
        </w:tc>
        <w:tc>
          <w:tcPr>
            <w:vAlign w:val="center"/>
          </w:tcPr>
          <w:p>
            <w:pPr>
              <w:spacing w:before="0" w:after="20" w:line="240" w:lineRule="auto"/>
            </w:pPr>
            <w:r>
              <w:rPr>
                <w:rFonts w:ascii="Arial" w:hAnsi="Arial"/>
                <w:sz w:val="14"/>
              </w:rPr>
              <w:t>The relevant metrics are spread across multiple tables and views</w:t>
            </w:r>
          </w:p>
        </w:tc>
        <w:tc>
          <w:tcPr>
            <w:vAlign w:val="center"/>
          </w:tcPr>
          <w:p>
            <w:pPr>
              <w:spacing w:before="0" w:after="20" w:line="240" w:lineRule="auto"/>
            </w:pPr>
            <w:r>
              <w:rPr>
                <w:rFonts w:ascii="Arial" w:hAnsi="Arial"/>
                <w:sz w:val="14"/>
              </w:rPr>
              <w:t>Manual comparison is slow and definitions/time coverage may be unclear</w:t>
            </w:r>
          </w:p>
        </w:tc>
        <w:tc>
          <w:tcPr>
            <w:vAlign w:val="center"/>
          </w:tcPr>
          <w:p>
            <w:pPr>
              <w:spacing w:before="0" w:after="20" w:line="240" w:lineRule="auto"/>
            </w:pPr>
            <w:r>
              <w:rPr>
                <w:rFonts w:ascii="Arial" w:hAnsi="Arial"/>
                <w:sz w:val="14"/>
              </w:rPr>
              <w:t>Frustrated and less confident in the conclusions</w:t>
            </w:r>
          </w:p>
        </w:tc>
      </w:tr>
      <w:tr>
        <w:trPr>
          <w:cantSplit w:val="0"/>
          <w:tblHeader w:val="0"/>
        </w:trPr>
        <w:tc>
          <w:tcPr>
            <w:vAlign w:val="center"/>
          </w:tcPr>
          <w:p>
            <w:pPr>
              <w:spacing w:before="0" w:after="20" w:line="240" w:lineRule="auto"/>
            </w:pPr>
            <w:r>
              <w:rPr>
                <w:rFonts w:ascii="Arial" w:hAnsi="Arial"/>
                <w:sz w:val="14"/>
              </w:rPr>
              <w:t>PS-2</w:t>
            </w:r>
          </w:p>
        </w:tc>
        <w:tc>
          <w:tcPr>
            <w:vAlign w:val="center"/>
          </w:tcPr>
          <w:p>
            <w:pPr>
              <w:spacing w:before="0" w:after="20" w:line="240" w:lineRule="auto"/>
            </w:pPr>
            <w:r>
              <w:rPr>
                <w:rFonts w:ascii="Arial" w:hAnsi="Arial"/>
                <w:sz w:val="14"/>
              </w:rPr>
              <w:t>A researcher or sports administrator</w:t>
            </w:r>
          </w:p>
        </w:tc>
        <w:tc>
          <w:tcPr>
            <w:vAlign w:val="center"/>
          </w:tcPr>
          <w:p>
            <w:pPr>
              <w:spacing w:before="0" w:after="20" w:line="240" w:lineRule="auto"/>
            </w:pPr>
            <w:r>
              <w:rPr>
                <w:rFonts w:ascii="Arial" w:hAnsi="Arial"/>
                <w:sz w:val="14"/>
              </w:rPr>
              <w:t>Explore regional efficiency, host status and sport-category patterns</w:t>
            </w:r>
          </w:p>
        </w:tc>
        <w:tc>
          <w:tcPr>
            <w:vAlign w:val="center"/>
          </w:tcPr>
          <w:p>
            <w:pPr>
              <w:spacing w:before="0" w:after="20" w:line="240" w:lineRule="auto"/>
            </w:pPr>
            <w:r>
              <w:rPr>
                <w:rFonts w:ascii="Arial" w:hAnsi="Arial"/>
                <w:sz w:val="14"/>
              </w:rPr>
              <w:t>Totals alone do not explain differences between groups</w:t>
            </w:r>
          </w:p>
        </w:tc>
        <w:tc>
          <w:tcPr>
            <w:vAlign w:val="center"/>
          </w:tcPr>
          <w:p>
            <w:pPr>
              <w:spacing w:before="0" w:after="20" w:line="240" w:lineRule="auto"/>
            </w:pPr>
            <w:r>
              <w:rPr>
                <w:rFonts w:ascii="Arial" w:hAnsi="Arial"/>
                <w:sz w:val="14"/>
              </w:rPr>
              <w:t>Event counts, participation, dataset scope and other contextual factors vary</w:t>
            </w:r>
          </w:p>
        </w:tc>
        <w:tc>
          <w:tcPr>
            <w:vAlign w:val="center"/>
          </w:tcPr>
          <w:p>
            <w:pPr>
              <w:spacing w:before="0" w:after="20" w:line="240" w:lineRule="auto"/>
            </w:pPr>
            <w:r>
              <w:rPr>
                <w:rFonts w:ascii="Arial" w:hAnsi="Arial"/>
                <w:sz w:val="14"/>
              </w:rPr>
              <w:t>At risk of drawing oversimplified conclusions</w:t>
            </w:r>
          </w:p>
        </w:tc>
      </w:tr>
    </w:tbl>
    <w:p w:rsidR="00000000" w:rsidDel="00000000" w:rsidP="00000000" w:rsidRDefault="00000000" w:rsidRPr="00000000" w14:paraId="00000026">
      <w:pPr>
        <w:rPr>
          <w:sz w:val="24"/>
          <w:szCs w:val="24"/>
        </w:rPr>
      </w:pPr>
      <w:r w:rsidDel="00000000" w:rsidR="00000000" w:rsidRPr="00000000">
        <w:rPr>
          <w:rtl w:val="0"/>
        </w:rPr>
      </w:r>
    </w:p>
    <w:p>
      <w:pPr>
        <w:pStyle w:val="Heading2"/>
      </w:pPr>
      <w:r>
        <w:t>Consolidated Problem Statement</w:t>
      </w:r>
    </w:p>
    <w:p>
      <w:pPr>
        <w:spacing w:after="80"/>
      </w:pPr>
      <w:r>
        <w:rPr>
          <w:sz w:val="18"/>
        </w:rPr>
        <w:t>Users need a clear, interactive way to compare Olympic performance across countries, sports, regions, and years. The solution must make comparisons accessible while communicating that medal totals and correlations are descriptive measures, not proof of cause and effect.</w:t>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