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Access &amp; Integration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Read the packaged Hyper extracts for Athletes, Country Rankings, Games Summary and Medal Results; preserve field types and source notes.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Processing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Validate nulls, duplicates, labels, numeric types and year values; document known source limitations before interpreting results.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Business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Aggregate total medals, medals awarded by year, average medals per athlete/category, average investment score and average medal efficiency.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Business Insights &amp; Analytical Outputs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Provide seven worksheet views and two dashboards for country rankings, time trends, category comparisons, regional distribution/efficiency, host context and investment relationship.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User Interaction &amp;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Provide country-rank range and host-advantage filters where available; support comparison through tooltips, chart selection and clear labels.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Update &amp; Reporting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Document refresh steps for the packaged extracts; export a workbook, screenshots and report; refresh from a trusted source when one is available.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Consistent titles, legible chart labels, simple dashboard layout, and clear metric descriptions.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The current workbook uses non-sensitive public/synthetic-style sports data; do not include credentials or private personal information.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Reliability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Use consistent aggregations and field types; validate row counts and totals after data refresh.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Use packaged extracts for responsive exploration; monitor workbook size and slow views when the data grows.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Availability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The packaged .twbx can be opened locally; public viewing requires a separate Tableau Public publish step.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Scalability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For larger or refreshed datasets, consider a governed source, extracts, aggregation layers, and documented refresh schedule.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