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highlight w:val="white"/>
          <w:rtl w:val="0"/>
        </w:rPr>
        <w:t xml:space="preserve">                                      Dashboard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125" w:firstLine="0"/>
              <w:rPr/>
            </w:pPr>
            <w:r w:rsidDel="00000000" w:rsidR="00000000" w:rsidRPr="00000000">
              <w:rPr>
                <w:rtl w:val="0"/>
              </w:rPr>
              <w:t xml:space="preserve">5 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  <w:rtl w:val="0"/>
        </w:rPr>
        <w:t xml:space="preserve">Activity 1: Interactive and visually appealing dashboards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Creating an effective Streamlit dashboard involves presenting business data stored in Snowflake through clear, interactive, and easy-to-understand visualizations. Students should design the dashboard so that users can quickly understand important KPIs, trends, comparisons, and business insights.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Clear and Intuitive Layout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Appropriate Visualizations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Colour and Theming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Interactive Filters and Slicers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Drill-Down Capabilities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Responsive Design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Custom Visuals and Icons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of Infographics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Highlight the major outcomes in form of bullet points </w:t>
      </w:r>
    </w:p>
    <w:p>
      <w:pPr>
        <w:pStyle w:val="Heading2"/>
      </w:pPr>
      <w:r>
        <w:t>Olympic Dashboard Design Specification</w:t>
      </w:r>
    </w:p>
    <w:p>
      <w:pPr>
        <w:spacing w:after="80"/>
      </w:pPr>
      <w:r>
        <w:rPr>
          <w:sz w:val="17"/>
        </w:rPr>
        <w:t>This template originally demonstrates a Streamlit/Snowflake dashboard. The supplied deliverable implements the visual layer in Tableau; the following content maps the same analytical views to a future Snowflake-backed Streamlit interface. The Streamlit/Snowflake application itself is not included or claimed as implemented.</w:t>
      </w:r>
    </w:p>
    <w:p>
      <w:pPr>
        <w:pStyle w:val="Heading3"/>
      </w:pPr>
      <w:r>
        <w:t>Clear and Intuitive Layout</w:t>
      </w:r>
    </w:p>
    <w:p>
      <w:pPr>
        <w:spacing w:after="80"/>
      </w:pPr>
      <w:r>
        <w:rPr>
          <w:sz w:val="17"/>
        </w:rPr>
        <w:t>Use two sections: overall performance (country rank, category averages, year trend) and regional efficiency (investment, efficiency, host comparisons, region distribution).</w:t>
      </w:r>
    </w:p>
    <w:p>
      <w:pPr>
        <w:pStyle w:val="Heading3"/>
      </w:pPr>
      <w:r>
        <w:t>Appropriate Visualizations</w:t>
      </w:r>
    </w:p>
    <w:p>
      <w:pPr>
        <w:spacing w:after="80"/>
      </w:pPr>
      <w:r>
        <w:rPr>
          <w:sz w:val="17"/>
        </w:rPr>
        <w:t>Use ranked bars for countries/categories, a line chart for years, a scatter plot for investment/medals, a sorted bar for regional efficiency, and a donut/treemap for regional share.</w:t>
      </w:r>
    </w:p>
    <w:p>
      <w:pPr>
        <w:pStyle w:val="Heading3"/>
      </w:pPr>
      <w:r>
        <w:t>Colour and Theming</w:t>
      </w:r>
    </w:p>
    <w:p>
      <w:pPr>
        <w:spacing w:after="80"/>
      </w:pPr>
      <w:r>
        <w:rPr>
          <w:sz w:val="17"/>
        </w:rPr>
        <w:t>Use a neutral background with a consistent blue/teal accent; use color sparingly to distinguish regions and avoid encoding more than one meaning with the same color.</w:t>
      </w:r>
    </w:p>
    <w:p>
      <w:pPr>
        <w:pStyle w:val="Heading3"/>
      </w:pPr>
      <w:r>
        <w:t>Interactive Filters and Slicers</w:t>
      </w:r>
    </w:p>
    <w:p>
      <w:pPr>
        <w:spacing w:after="80"/>
      </w:pPr>
      <w:r>
        <w:rPr>
          <w:sz w:val="17"/>
        </w:rPr>
        <w:t>Suggested filters: year range, country, region and host-advantage label. Apply filters consistently and show selected state.</w:t>
      </w:r>
    </w:p>
    <w:p>
      <w:pPr>
        <w:pStyle w:val="Heading3"/>
      </w:pPr>
      <w:r>
        <w:t>Drill-Down Capabilities</w:t>
      </w:r>
    </w:p>
    <w:p>
      <w:pPr>
        <w:spacing w:after="80"/>
      </w:pPr>
      <w:r>
        <w:rPr>
          <w:sz w:val="17"/>
        </w:rPr>
        <w:t>Allow country selection to reveal rank, total medals and region; allow region selection to reveal the countries represented.</w:t>
      </w:r>
    </w:p>
    <w:p>
      <w:pPr>
        <w:pStyle w:val="Heading3"/>
      </w:pPr>
      <w:r>
        <w:t>Responsive Design</w:t>
      </w:r>
    </w:p>
    <w:p>
      <w:pPr>
        <w:spacing w:after="80"/>
      </w:pPr>
      <w:r>
        <w:rPr>
          <w:sz w:val="17"/>
        </w:rPr>
        <w:t>Use one/two-column layouts; preserve labels and tooltips on laptop and classroom display sizes.</w:t>
      </w:r>
    </w:p>
    <w:p>
      <w:pPr>
        <w:pStyle w:val="Heading3"/>
      </w:pPr>
      <w:r>
        <w:t>Custom Visuals and Icons</w:t>
      </w:r>
    </w:p>
    <w:p>
      <w:pPr>
        <w:spacing w:after="80"/>
      </w:pPr>
      <w:r>
        <w:rPr>
          <w:sz w:val="17"/>
        </w:rPr>
        <w:t>Use minimal sport/medal icons only as navigational aids; keep chart data and labels primary.</w:t>
      </w:r>
    </w:p>
    <w:p>
      <w:pPr>
        <w:pStyle w:val="Heading3"/>
      </w:pPr>
      <w:r>
        <w:t>Infographics</w:t>
      </w:r>
    </w:p>
    <w:p>
      <w:pPr>
        <w:spacing w:after="80"/>
      </w:pPr>
      <w:r>
        <w:rPr>
          <w:sz w:val="17"/>
        </w:rPr>
        <w:t>Use KPI callouts for confirmed totals only; do not display invented numbers or infer causality from association.</w:t>
      </w:r>
    </w:p>
    <w:p>
      <w:pPr>
        <w:pStyle w:val="Heading2"/>
      </w:pPr>
      <w:r>
        <w:t>Major Analytical Outcomes Supported by the Current Tableau Workbook</w:t>
      </w:r>
    </w:p>
    <w:p>
      <w:pPr>
        <w:spacing w:after="80"/>
      </w:pPr>
      <w:r>
        <w:rPr>
          <w:sz w:val="17"/>
        </w:rPr>
        <w:t>• Country ranking and total medal comparison can be explored in the “Global Performance by Country” worksheet.</w:t>
      </w:r>
    </w:p>
    <w:p>
      <w:pPr>
        <w:spacing w:after="80"/>
      </w:pPr>
      <w:r>
        <w:rPr>
          <w:sz w:val="17"/>
        </w:rPr>
        <w:t>• Medal movement across Olympic years can be explored in the “Trend of Total Medals Awarded” worksheet.</w:t>
      </w:r>
    </w:p>
    <w:p>
      <w:pPr>
        <w:spacing w:after="80"/>
      </w:pPr>
      <w:r>
        <w:rPr>
          <w:sz w:val="17"/>
        </w:rPr>
        <w:t>• Sport-category averages can be compared using “Avg Medals per Athlete by Category”.</w:t>
      </w:r>
    </w:p>
    <w:p>
      <w:pPr>
        <w:spacing w:after="80"/>
      </w:pPr>
      <w:r>
        <w:rPr>
          <w:sz w:val="17"/>
        </w:rPr>
        <w:t>• Regional context is covered by “Avg Medal Efficiency by Region” and “Medal Distribution by Region”.</w:t>
      </w:r>
    </w:p>
    <w:p>
      <w:pPr>
        <w:spacing w:after="80"/>
      </w:pPr>
      <w:r>
        <w:rPr>
          <w:sz w:val="17"/>
        </w:rPr>
        <w:t>• Investment score versus medal output and host-nation comparison are descriptive context views, not causal evidence.</w:t>
      </w:r>
    </w:p>
    <w:p>
      <w:pPr>
        <w:jc w:val="center"/>
      </w:pPr>
      <w:r>
        <w:drawing>
          <wp:inline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image: Olympic Performance Dashboard from the provided walkthrough.</w:t>
      </w:r>
    </w:p>
    <w:p>
      <w:pPr>
        <w:jc w:val="center"/>
      </w:pPr>
      <w:r>
        <w:drawing>
          <wp:inline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image: Regional Efficiency Dashboard from the provided walkthrough.</w:t>
      </w:r>
    </w:p>
    <w:p>
      <w:pPr>
        <w:pStyle w:val="Heading2"/>
      </w:pPr>
      <w:r>
        <w:t>Publication / Implementation Status</w:t>
      </w:r>
    </w:p>
    <w:p>
      <w:pPr>
        <w:spacing w:after="80"/>
      </w:pPr>
      <w:r>
        <w:rPr>
          <w:sz w:val="17"/>
        </w:rPr>
        <w:t>Current implemented interface: Tableau workbook (.twbx). Snowflake + Streamlit interface: future extension. Tableau Public URL and Snowflake credentials/query logs were not provided; no credentials should be placed in this document.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6505575</wp:posOffset>
          </wp:positionH>
          <wp:positionV relativeFrom="page">
            <wp:posOffset>247650</wp:posOffset>
          </wp:positionV>
          <wp:extent cx="864691" cy="395288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kkWiKCA7kjhuQs9TCZqGXO2tQ==">CgMxLjA4AHIhMUwzUUx3QWZ5SElCbkhpbjE5NzN2OVlZRUdtaVRfMVhE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SmarBridge ML</dc:creator>
</cp:coreProperties>
</file>