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Empathize &amp; Discover</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vAlign w:val="center"/>
          </w:tcPr>
          <w:p>
            <w:pPr>
              <w:spacing w:before="0" w:after="20" w:line="240" w:lineRule="auto"/>
            </w:pPr>
            <w:r>
              <w:rPr>
                <w:rFonts w:ascii="Arial" w:hAnsi="Arial"/>
                <w:sz w:val="18"/>
              </w:rPr>
              <w:t>27 October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vAlign w:val="center"/>
          </w:tcPr>
          <w:p>
            <w:pPr>
              <w:spacing w:before="0" w:after="20" w:line="240" w:lineRule="auto"/>
            </w:pPr>
            <w:r>
              <w:rPr>
                <w:rFonts w:ascii="Arial" w:hAnsi="Arial"/>
                <w:sz w:val="18"/>
              </w:rPr>
              <w:t>Not provided by user</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vAlign w:val="center"/>
          </w:tcPr>
          <w:p>
            <w:pPr>
              <w:spacing w:before="0" w:after="20" w:line="240" w:lineRule="auto"/>
            </w:pPr>
            <w:r>
              <w:rPr>
                <w:rFonts w:ascii="Arial" w:hAnsi="Arial"/>
                <w:sz w:val="18"/>
              </w:rPr>
              <w:t>Global Olympic Sports Performance Analysis</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3">
      <w:pPr>
        <w:rPr/>
      </w:pPr>
      <w:r w:rsidDel="00000000" w:rsidR="00000000" w:rsidRPr="00000000">
        <w:rPr>
          <w:sz w:val="24"/>
          <w:szCs w:val="24"/>
          <w:rtl w:val="0"/>
        </w:rPr>
        <w:t xml:space="preserve">Reference: </w:t>
      </w:r>
      <w:hyperlink r:id="rId7">
        <w:r w:rsidDel="00000000" w:rsidR="00000000" w:rsidRPr="00000000">
          <w:rPr>
            <w:color w:val="0563c1"/>
            <w:u w:val="single"/>
            <w:rtl w:val="0"/>
          </w:rPr>
          <w:t xml:space="preserve">https://www.mural.co/templates/empathy-map-canvas</w:t>
        </w:r>
      </w:hyperlink>
      <w:r w:rsidDel="00000000" w:rsidR="00000000" w:rsidRPr="00000000">
        <w:rPr>
          <w:rtl w:val="0"/>
        </w:rPr>
      </w:r>
    </w:p>
    <w:tbl>
      <w:tblPr>
        <w:tblStyle w:val="TableGrid"/>
        <w:tblW w:type="auto" w:w="0"/>
        <w:jc w:val="center"/>
        <w:tblLook w:firstColumn="1" w:firstRow="1" w:lastColumn="0" w:lastRow="0" w:noHBand="0" w:noVBand="1" w:val="04A0"/>
      </w:tblPr>
      <w:tblGrid>
        <w:gridCol w:w="4513"/>
        <w:gridCol w:w="4513"/>
      </w:tblGrid>
      <w:tr>
        <w:tc>
          <w:tcPr>
            <w:tcW w:type="dxa" w:w="4513"/>
            <w:vAlign w:val="center"/>
          </w:tcPr>
          <w:p>
            <w:pPr>
              <w:spacing w:before="0" w:after="20" w:line="240" w:lineRule="auto"/>
            </w:pPr>
            <w:r>
              <w:rPr>
                <w:rFonts w:ascii="Arial" w:hAnsi="Arial"/>
                <w:b/>
                <w:sz w:val="16"/>
              </w:rPr>
              <w:t>Empathy dimension</w:t>
            </w:r>
          </w:p>
        </w:tc>
        <w:tc>
          <w:tcPr>
            <w:tcW w:type="dxa" w:w="4513"/>
            <w:vAlign w:val="center"/>
          </w:tcPr>
          <w:p>
            <w:pPr>
              <w:spacing w:before="0" w:after="20" w:line="240" w:lineRule="auto"/>
            </w:pPr>
            <w:r>
              <w:rPr>
                <w:rFonts w:ascii="Arial" w:hAnsi="Arial"/>
                <w:b/>
                <w:sz w:val="16"/>
              </w:rPr>
              <w:t>Target user insight</w:t>
            </w:r>
          </w:p>
        </w:tc>
      </w:tr>
      <w:tr>
        <w:tc>
          <w:tcPr>
            <w:tcW w:type="dxa" w:w="4513"/>
            <w:vAlign w:val="center"/>
          </w:tcPr>
          <w:p>
            <w:pPr>
              <w:spacing w:before="0" w:after="20" w:line="240" w:lineRule="auto"/>
            </w:pPr>
            <w:r>
              <w:rPr>
                <w:rFonts w:ascii="Arial" w:hAnsi="Arial"/>
                <w:b w:val="0"/>
                <w:sz w:val="16"/>
              </w:rPr>
              <w:t>Says</w:t>
            </w:r>
          </w:p>
        </w:tc>
        <w:tc>
          <w:tcPr>
            <w:tcW w:type="dxa" w:w="4513"/>
            <w:vAlign w:val="center"/>
          </w:tcPr>
          <w:p>
            <w:pPr>
              <w:spacing w:before="0" w:after="20" w:line="240" w:lineRule="auto"/>
            </w:pPr>
            <w:r>
              <w:rPr>
                <w:rFonts w:ascii="Arial" w:hAnsi="Arial"/>
                <w:b w:val="0"/>
                <w:sz w:val="16"/>
              </w:rPr>
              <w:t>“I need a quick, reliable way to compare countries, sports, regions and Olympic years.”</w:t>
            </w:r>
          </w:p>
        </w:tc>
      </w:tr>
      <w:tr>
        <w:tc>
          <w:tcPr>
            <w:tcW w:type="dxa" w:w="4513"/>
            <w:vAlign w:val="center"/>
          </w:tcPr>
          <w:p>
            <w:pPr>
              <w:spacing w:before="0" w:after="20" w:line="240" w:lineRule="auto"/>
            </w:pPr>
            <w:r>
              <w:rPr>
                <w:rFonts w:ascii="Arial" w:hAnsi="Arial"/>
                <w:b w:val="0"/>
                <w:sz w:val="16"/>
              </w:rPr>
              <w:t>Thinks</w:t>
            </w:r>
          </w:p>
        </w:tc>
        <w:tc>
          <w:tcPr>
            <w:tcW w:type="dxa" w:w="4513"/>
            <w:vAlign w:val="center"/>
          </w:tcPr>
          <w:p>
            <w:pPr>
              <w:spacing w:before="0" w:after="20" w:line="240" w:lineRule="auto"/>
            </w:pPr>
            <w:r>
              <w:rPr>
                <w:rFonts w:ascii="Arial" w:hAnsi="Arial"/>
                <w:b w:val="0"/>
                <w:sz w:val="16"/>
              </w:rPr>
              <w:t>Raw medal tables are hard to compare; metric definitions and time coverage may differ.</w:t>
            </w:r>
          </w:p>
        </w:tc>
      </w:tr>
      <w:tr>
        <w:tc>
          <w:tcPr>
            <w:tcW w:type="dxa" w:w="4513"/>
            <w:vAlign w:val="center"/>
          </w:tcPr>
          <w:p>
            <w:pPr>
              <w:spacing w:before="0" w:after="20" w:line="240" w:lineRule="auto"/>
            </w:pPr>
            <w:r>
              <w:rPr>
                <w:rFonts w:ascii="Arial" w:hAnsi="Arial"/>
                <w:b w:val="0"/>
                <w:sz w:val="16"/>
              </w:rPr>
              <w:t>Does</w:t>
            </w:r>
          </w:p>
        </w:tc>
        <w:tc>
          <w:tcPr>
            <w:tcW w:type="dxa" w:w="4513"/>
            <w:vAlign w:val="center"/>
          </w:tcPr>
          <w:p>
            <w:pPr>
              <w:spacing w:before="0" w:after="20" w:line="240" w:lineRule="auto"/>
            </w:pPr>
            <w:r>
              <w:rPr>
                <w:rFonts w:ascii="Arial" w:hAnsi="Arial"/>
                <w:b w:val="0"/>
                <w:sz w:val="16"/>
              </w:rPr>
              <w:t>Opens dashboards, checks rankings, compares trends, filters host/region categories, and shares summary findings.</w:t>
            </w:r>
          </w:p>
        </w:tc>
      </w:tr>
      <w:tr>
        <w:tc>
          <w:tcPr>
            <w:tcW w:type="dxa" w:w="4513"/>
            <w:vAlign w:val="center"/>
          </w:tcPr>
          <w:p>
            <w:pPr>
              <w:spacing w:before="0" w:after="20" w:line="240" w:lineRule="auto"/>
            </w:pPr>
            <w:r>
              <w:rPr>
                <w:rFonts w:ascii="Arial" w:hAnsi="Arial"/>
                <w:b w:val="0"/>
                <w:sz w:val="16"/>
              </w:rPr>
              <w:t>Feels</w:t>
            </w:r>
          </w:p>
        </w:tc>
        <w:tc>
          <w:tcPr>
            <w:tcW w:type="dxa" w:w="4513"/>
            <w:vAlign w:val="center"/>
          </w:tcPr>
          <w:p>
            <w:pPr>
              <w:spacing w:before="0" w:after="20" w:line="240" w:lineRule="auto"/>
            </w:pPr>
            <w:r>
              <w:rPr>
                <w:rFonts w:ascii="Arial" w:hAnsi="Arial"/>
                <w:b w:val="0"/>
                <w:sz w:val="16"/>
              </w:rPr>
              <w:t>Curious about patterns, but can feel uncertain when data coverage or metric definitions are unclear.</w:t>
            </w:r>
          </w:p>
        </w:tc>
      </w:tr>
      <w:tr>
        <w:tc>
          <w:tcPr>
            <w:tcW w:type="dxa" w:w="4513"/>
            <w:vAlign w:val="center"/>
          </w:tcPr>
          <w:p>
            <w:pPr>
              <w:spacing w:before="0" w:after="20" w:line="240" w:lineRule="auto"/>
            </w:pPr>
            <w:r>
              <w:rPr>
                <w:rFonts w:ascii="Arial" w:hAnsi="Arial"/>
                <w:b w:val="0"/>
                <w:sz w:val="16"/>
              </w:rPr>
              <w:t>Pain points</w:t>
            </w:r>
          </w:p>
        </w:tc>
        <w:tc>
          <w:tcPr>
            <w:tcW w:type="dxa" w:w="4513"/>
            <w:vAlign w:val="center"/>
          </w:tcPr>
          <w:p>
            <w:pPr>
              <w:spacing w:before="0" w:after="20" w:line="240" w:lineRule="auto"/>
            </w:pPr>
            <w:r>
              <w:rPr>
                <w:rFonts w:ascii="Arial" w:hAnsi="Arial"/>
                <w:b w:val="0"/>
                <w:sz w:val="16"/>
              </w:rPr>
              <w:t>Fragmented datasets, confusing labels, unverified source context, and medal totals that are not normalized for event counts.</w:t>
            </w:r>
          </w:p>
        </w:tc>
      </w:tr>
      <w:tr>
        <w:tc>
          <w:tcPr>
            <w:tcW w:type="dxa" w:w="4513"/>
            <w:vAlign w:val="center"/>
          </w:tcPr>
          <w:p>
            <w:pPr>
              <w:spacing w:before="0" w:after="20" w:line="240" w:lineRule="auto"/>
            </w:pPr>
            <w:r>
              <w:rPr>
                <w:rFonts w:ascii="Arial" w:hAnsi="Arial"/>
                <w:b w:val="0"/>
                <w:sz w:val="16"/>
              </w:rPr>
              <w:t>Needs / opportunities</w:t>
            </w:r>
          </w:p>
        </w:tc>
        <w:tc>
          <w:tcPr>
            <w:tcW w:type="dxa" w:w="4513"/>
            <w:vAlign w:val="center"/>
          </w:tcPr>
          <w:p>
            <w:pPr>
              <w:spacing w:before="0" w:after="20" w:line="240" w:lineRule="auto"/>
            </w:pPr>
            <w:r>
              <w:rPr>
                <w:rFonts w:ascii="Arial" w:hAnsi="Arial"/>
                <w:b w:val="0"/>
                <w:sz w:val="16"/>
              </w:rPr>
              <w:t>Readable charts, transparent labels, interactive filtering, clear date ranges, source notes, and careful interpretation.</w:t>
            </w:r>
          </w:p>
        </w:tc>
      </w:tr>
    </w:tbl>
    <w:p w:rsidR="00000000" w:rsidDel="00000000" w:rsidP="00000000" w:rsidRDefault="00000000" w:rsidRPr="00000000" w14:paraId="00000014">
      <w:pPr>
        <w:jc w:val="both"/>
        <w:rPr>
          <w:b w:val="1"/>
          <w:bCs w:val="1"/>
          <w:color w:val="2a2a2a"/>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
      <w:r w:rsidDel="00000000" w:rsidR="00000000" w:rsidRPr="00000000">
        <w:rPr>
          <w:rtl w:val="0"/>
        </w:rPr>
      </w:r>
    </w:p>
    <w:p>
      <w:pPr>
        <w:pStyle w:val="Heading2"/>
      </w:pPr>
      <w:r>
        <w:t>Empathy Map Summary</w:t>
      </w:r>
    </w:p>
    <w:p>
      <w:pPr>
        <w:spacing w:after="80"/>
      </w:pPr>
      <w:r>
        <w:rPr>
          <w:sz w:val="18"/>
        </w:rPr>
        <w:t>Primary persona: a student, sports analyst, researcher, or sports administrator who needs to explore Olympic performance quickly. The workbook supports exploration and comparison; it does not by itself establish why a country or region performs better.</w:t>
      </w:r>
    </w:p>
    <w:sectPr>
      <w:headerReference r:id="rId9" w:type="default"/>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6505575</wp:posOffset>
          </wp:positionH>
          <wp:positionV relativeFrom="page">
            <wp:posOffset>239913</wp:posOffset>
          </wp:positionV>
          <wp:extent cx="864691" cy="395288"/>
          <wp:effectExtent b="0" l="0" r="0" t="0"/>
          <wp:wrapNone/>
          <wp:docPr id="1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142875</wp:posOffset>
          </wp:positionH>
          <wp:positionV relativeFrom="page">
            <wp:posOffset>144663</wp:posOffset>
          </wp:positionV>
          <wp:extent cx="1376363" cy="589870"/>
          <wp:effectExtent b="0" l="0" r="0" t="0"/>
          <wp:wrapNone/>
          <wp:docPr id="10" name="image2.png"/>
          <a:graphic>
            <a:graphicData uri="http://schemas.openxmlformats.org/drawingml/2006/picture">
              <pic:pic>
                <pic:nvPicPr>
                  <pic:cNvPr id="0" name="image2.png"/>
                  <pic:cNvPicPr preferRelativeResize="0"/>
                </pic:nvPicPr>
                <pic:blipFill>
                  <a:blip r:embed="rId2"/>
                  <a:srcRect b="7692" l="0" r="7692" t="0"/>
                  <a:stretch>
                    <a:fillRect/>
                  </a:stretch>
                </pic:blipFill>
                <pic:spPr>
                  <a:xfrm>
                    <a:off x="0" y="0"/>
                    <a:ext cx="1376363" cy="58987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mural.co/templates/empathy-map-canvas" TargetMode="External"/><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3fsNOHpf3FV2G7iHBSFfo66Y9w==">CgMxLjA4AHIhMVp3Wnhtemd2NUdMU0tNbFpRV1UyMEdfdDVoQzFQb0Qy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