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71" w:rsidRPr="008C2519" w:rsidRDefault="00043371" w:rsidP="00B01355">
      <w:pPr>
        <w:pStyle w:val="Heading1"/>
        <w:spacing w:before="0"/>
        <w:jc w:val="center"/>
        <w:rPr>
          <w:b w:val="0"/>
        </w:rPr>
      </w:pPr>
      <w:r w:rsidRPr="008C2519">
        <w:rPr>
          <w:b w:val="0"/>
          <w:sz w:val="24"/>
        </w:rPr>
        <w:t>SYDE 631 – TIME SERIES MODELLING</w:t>
      </w:r>
    </w:p>
    <w:p w:rsidR="00B145FF" w:rsidRDefault="00043371" w:rsidP="00D6339F">
      <w:pPr>
        <w:spacing w:after="0"/>
        <w:jc w:val="center"/>
        <w:rPr>
          <w:b/>
          <w:sz w:val="36"/>
        </w:rPr>
      </w:pPr>
      <w:r w:rsidRPr="008C2519">
        <w:rPr>
          <w:b/>
          <w:sz w:val="36"/>
        </w:rPr>
        <w:t>ASSIGNMENT 2</w:t>
      </w:r>
    </w:p>
    <w:p w:rsidR="003C140F" w:rsidRPr="003C140F" w:rsidRDefault="003C140F" w:rsidP="00D6339F">
      <w:pPr>
        <w:spacing w:after="0"/>
        <w:jc w:val="center"/>
        <w:rPr>
          <w:b/>
        </w:rPr>
      </w:pPr>
      <w:proofErr w:type="spellStart"/>
      <w:r>
        <w:rPr>
          <w:b/>
        </w:rPr>
        <w:t>Keshitha</w:t>
      </w:r>
      <w:proofErr w:type="spellEnd"/>
      <w:r>
        <w:rPr>
          <w:b/>
        </w:rPr>
        <w:t xml:space="preserve"> </w:t>
      </w:r>
      <w:proofErr w:type="spellStart"/>
      <w:r>
        <w:rPr>
          <w:b/>
        </w:rPr>
        <w:t>Babu</w:t>
      </w:r>
      <w:proofErr w:type="spellEnd"/>
      <w:r>
        <w:rPr>
          <w:b/>
        </w:rPr>
        <w:t xml:space="preserve"> Suresh Kumar (20802870)</w:t>
      </w:r>
    </w:p>
    <w:p w:rsidR="00043371" w:rsidRPr="00AD5767" w:rsidRDefault="00043371" w:rsidP="00D6339F">
      <w:pPr>
        <w:spacing w:before="240"/>
        <w:jc w:val="both"/>
        <w:rPr>
          <w:b/>
          <w:i/>
          <w:color w:val="7F7F7F" w:themeColor="text1" w:themeTint="80"/>
        </w:rPr>
      </w:pPr>
      <w:r w:rsidRPr="00AD5767">
        <w:rPr>
          <w:b/>
          <w:i/>
          <w:color w:val="7F7F7F" w:themeColor="text1" w:themeTint="80"/>
        </w:rPr>
        <w:t>5.6 Examine the graph of a time series which is of direct interest to you. Describe general statistical properties of the series that you can detect in the graph.</w:t>
      </w:r>
    </w:p>
    <w:p w:rsidR="00B145FF" w:rsidRDefault="00420630" w:rsidP="00B145FF">
      <w:pPr>
        <w:spacing w:before="240"/>
        <w:jc w:val="both"/>
      </w:pPr>
      <w:r>
        <w:t xml:space="preserve">ANS: </w:t>
      </w:r>
      <w:r w:rsidR="00B145FF">
        <w:t xml:space="preserve"> Given below is a graph showing the annual average of phosphorus concentrations in water taken from the year 1972 to 2016. There is a noticeable downward trend in the concentrations and there seems to be one significant spike between 1975 and 1980(further inspection revealed it to be the year 1977 with an </w:t>
      </w:r>
      <w:r w:rsidR="002459D0">
        <w:t>average of approximately 0.087)</w:t>
      </w:r>
      <w:r w:rsidR="00B145FF">
        <w:t>.</w:t>
      </w:r>
      <w:r w:rsidR="002459D0">
        <w:t xml:space="preserve"> The values seem to be correlated and the series does not resemble a white noise series. It also appears that the variance decreases with increase in time.</w:t>
      </w:r>
      <w:r w:rsidR="00B145FF">
        <w:t xml:space="preserve"> The graph also indicates that the time series is </w:t>
      </w:r>
      <w:r w:rsidR="000A34BF">
        <w:t>non-</w:t>
      </w:r>
      <w:r w:rsidR="00B145FF">
        <w:t>stationary as the average seems to be continuously changing.</w:t>
      </w:r>
    </w:p>
    <w:p w:rsidR="00420630" w:rsidRDefault="00AE219E" w:rsidP="00AE219E">
      <w:pPr>
        <w:spacing w:after="0"/>
        <w:jc w:val="center"/>
      </w:pPr>
      <w:r>
        <w:rPr>
          <w:noProof/>
        </w:rPr>
        <w:drawing>
          <wp:inline distT="0" distB="0" distL="0" distR="0" wp14:anchorId="73E69BEC" wp14:editId="70F8A55E">
            <wp:extent cx="3816626" cy="2194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513" cy="2196966"/>
                    </a:xfrm>
                    <a:prstGeom prst="rect">
                      <a:avLst/>
                    </a:prstGeom>
                    <a:noFill/>
                    <a:ln>
                      <a:noFill/>
                    </a:ln>
                  </pic:spPr>
                </pic:pic>
              </a:graphicData>
            </a:graphic>
          </wp:inline>
        </w:drawing>
      </w:r>
    </w:p>
    <w:p w:rsidR="000A35B5" w:rsidRPr="00420630" w:rsidRDefault="000A35B5" w:rsidP="000A35B5">
      <w:pPr>
        <w:spacing w:after="0"/>
        <w:jc w:val="center"/>
      </w:pPr>
      <w:r>
        <w:t xml:space="preserve">Figure </w:t>
      </w:r>
      <w:proofErr w:type="gramStart"/>
      <w:r>
        <w:t>1 :</w:t>
      </w:r>
      <w:proofErr w:type="gramEnd"/>
      <w:r>
        <w:t xml:space="preserve"> A plotted graph of the data set</w:t>
      </w:r>
    </w:p>
    <w:p w:rsidR="00043371" w:rsidRPr="00AD5767" w:rsidRDefault="00043371" w:rsidP="000A35B5">
      <w:pPr>
        <w:spacing w:before="240"/>
        <w:jc w:val="both"/>
        <w:rPr>
          <w:b/>
          <w:i/>
          <w:color w:val="7F7F7F" w:themeColor="text1" w:themeTint="80"/>
        </w:rPr>
      </w:pPr>
      <w:r w:rsidRPr="00AD5767">
        <w:rPr>
          <w:b/>
          <w:i/>
          <w:color w:val="7F7F7F" w:themeColor="text1" w:themeTint="80"/>
        </w:rPr>
        <w:t>5.11 Select a non-seasonal time series that is of interest to you. Obtain each of the identification graphs in Section 5.3.3</w:t>
      </w:r>
      <w:r w:rsidR="000A35B5" w:rsidRPr="00AD5767">
        <w:rPr>
          <w:b/>
          <w:i/>
          <w:color w:val="7F7F7F" w:themeColor="text1" w:themeTint="80"/>
        </w:rPr>
        <w:t xml:space="preserve"> </w:t>
      </w:r>
      <w:r w:rsidRPr="00AD5767">
        <w:rPr>
          <w:b/>
          <w:i/>
          <w:color w:val="7F7F7F" w:themeColor="text1" w:themeTint="80"/>
        </w:rPr>
        <w:t>to 5.3.7 for the series. Based upon these identification results, what is the most appropriate type of ARMA or ARIMA to fit the data set?</w:t>
      </w:r>
    </w:p>
    <w:p w:rsidR="000A35B5" w:rsidRDefault="000A35B5" w:rsidP="00EA7096">
      <w:pPr>
        <w:jc w:val="both"/>
      </w:pPr>
      <w:r>
        <w:t xml:space="preserve">ANS: </w:t>
      </w:r>
      <w:r w:rsidR="00233EDB">
        <w:t xml:space="preserve"> The data was discovered to be non-stationary</w:t>
      </w:r>
      <w:r w:rsidR="00574C7B">
        <w:t xml:space="preserve"> </w:t>
      </w:r>
      <w:r w:rsidR="00233EDB">
        <w:t xml:space="preserve">(due to a downward trend). To eradicate </w:t>
      </w:r>
      <w:r w:rsidR="000A34BF">
        <w:t>non-</w:t>
      </w:r>
      <w:r w:rsidR="00233EDB">
        <w:t xml:space="preserve">stationarity, </w:t>
      </w:r>
      <w:r w:rsidR="00585C29">
        <w:t>data transformation</w:t>
      </w:r>
      <w:r w:rsidR="00574C7B">
        <w:t xml:space="preserve"> </w:t>
      </w:r>
      <w:r w:rsidR="000F3CE5">
        <w:t xml:space="preserve">and differencing </w:t>
      </w:r>
      <w:r w:rsidR="00085AF9">
        <w:t>were carried out on</w:t>
      </w:r>
      <w:r w:rsidR="00585C29">
        <w:t xml:space="preserve"> </w:t>
      </w:r>
      <w:r w:rsidR="00574C7B">
        <w:t xml:space="preserve">the raw data. </w:t>
      </w:r>
      <w:r w:rsidR="000F3CE5">
        <w:t>Of all transformation techniques, the reciprocal transformation resulted in transforming the data into a</w:t>
      </w:r>
      <w:r w:rsidR="009B4EA1">
        <w:t xml:space="preserve"> seemingly normally</w:t>
      </w:r>
      <w:r w:rsidR="000F3CE5">
        <w:t xml:space="preserve"> distributed series</w:t>
      </w:r>
      <w:r w:rsidR="009B4EA1">
        <w:t xml:space="preserve"> (which Shapiro-Wilk tests also confirm (with a p-value of 0.9448)</w:t>
      </w:r>
      <w:r w:rsidR="000F3CE5">
        <w:t>. We first-order differenced the resultant data</w:t>
      </w:r>
      <w:r w:rsidR="000A34BF">
        <w:t>, which then</w:t>
      </w:r>
      <w:r w:rsidR="009C7DB5">
        <w:t xml:space="preserve"> resulted in a stationary time ser</w:t>
      </w:r>
      <w:r w:rsidR="000A34BF">
        <w:t xml:space="preserve">ies. We </w:t>
      </w:r>
      <w:r w:rsidR="009C7DB5">
        <w:t>then proceeded to plot</w:t>
      </w:r>
      <w:r w:rsidR="000F3CE5">
        <w:t xml:space="preserve"> </w:t>
      </w:r>
      <w:r w:rsidR="00E75D1F">
        <w:t xml:space="preserve">correlograms for </w:t>
      </w:r>
      <w:r w:rsidR="000F3CE5">
        <w:t>the ACF and the PACF</w:t>
      </w:r>
      <w:r w:rsidR="00E75D1F">
        <w:t>,</w:t>
      </w:r>
    </w:p>
    <w:p w:rsidR="009B4EA1" w:rsidRDefault="006C2B02" w:rsidP="00AE4BD0">
      <w:pPr>
        <w:jc w:val="center"/>
      </w:pPr>
      <w:r>
        <w:rPr>
          <w:noProof/>
        </w:rPr>
        <w:lastRenderedPageBreak/>
        <w:drawing>
          <wp:inline distT="0" distB="0" distL="0" distR="0">
            <wp:extent cx="5462546" cy="208422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011" cy="2084402"/>
                    </a:xfrm>
                    <a:prstGeom prst="rect">
                      <a:avLst/>
                    </a:prstGeom>
                    <a:noFill/>
                    <a:ln>
                      <a:noFill/>
                    </a:ln>
                  </pic:spPr>
                </pic:pic>
              </a:graphicData>
            </a:graphic>
          </wp:inline>
        </w:drawing>
      </w:r>
    </w:p>
    <w:p w:rsidR="004666F1" w:rsidRPr="00FB4F9E" w:rsidRDefault="0056032C" w:rsidP="004666F1">
      <w:pPr>
        <w:jc w:val="both"/>
      </w:pPr>
      <w:r>
        <w:t>The Figure below shows the ACF and the PACF correlogram for 10 lags</w:t>
      </w:r>
      <w:r w:rsidR="004666F1">
        <w:t>.</w:t>
      </w:r>
      <w:r w:rsidR="004666F1" w:rsidRPr="004666F1">
        <w:t xml:space="preserve"> </w:t>
      </w:r>
      <w:r w:rsidR="004666F1">
        <w:t xml:space="preserve">The ACF clearly cuts off after lag 1. So, the value of </w:t>
      </w:r>
      <w:r w:rsidR="004666F1">
        <w:rPr>
          <w:i/>
        </w:rPr>
        <w:t xml:space="preserve">q </w:t>
      </w:r>
      <w:r w:rsidR="004666F1">
        <w:t xml:space="preserve">for the </w:t>
      </w:r>
      <w:proofErr w:type="gramStart"/>
      <w:r w:rsidR="004666F1">
        <w:t>MA(</w:t>
      </w:r>
      <w:proofErr w:type="gramEnd"/>
      <w:r w:rsidR="004666F1">
        <w:rPr>
          <w:i/>
        </w:rPr>
        <w:t>q</w:t>
      </w:r>
      <w:r w:rsidR="004666F1">
        <w:t xml:space="preserve">) can be 1. Similarly, the PACF cuts off after lag 3 and hence, the </w:t>
      </w:r>
      <w:r w:rsidR="004666F1">
        <w:rPr>
          <w:i/>
        </w:rPr>
        <w:t xml:space="preserve">p </w:t>
      </w:r>
      <w:r w:rsidR="004666F1">
        <w:t xml:space="preserve">value for the corresponding </w:t>
      </w:r>
      <w:proofErr w:type="gramStart"/>
      <w:r w:rsidR="004666F1">
        <w:t>AR(</w:t>
      </w:r>
      <w:proofErr w:type="gramEnd"/>
      <w:r w:rsidR="004666F1">
        <w:rPr>
          <w:i/>
        </w:rPr>
        <w:t xml:space="preserve">p) </w:t>
      </w:r>
      <w:r w:rsidR="004666F1">
        <w:t xml:space="preserve">process is clearly 3. Since these correlation functions were obtained after differencing once, the value of </w:t>
      </w:r>
      <w:r w:rsidR="004666F1">
        <w:rPr>
          <w:i/>
        </w:rPr>
        <w:t xml:space="preserve">d </w:t>
      </w:r>
      <w:r w:rsidR="004666F1">
        <w:t xml:space="preserve">in an </w:t>
      </w:r>
      <w:proofErr w:type="gramStart"/>
      <w:r w:rsidR="004666F1">
        <w:t>ARIMA(</w:t>
      </w:r>
      <w:proofErr w:type="gramEnd"/>
      <w:r w:rsidR="004666F1" w:rsidRPr="00FB4F9E">
        <w:rPr>
          <w:i/>
        </w:rPr>
        <w:t>p,d,q</w:t>
      </w:r>
      <w:r w:rsidR="004666F1">
        <w:t xml:space="preserve">) model is 1. Hence, a possibly good model for this series is an </w:t>
      </w:r>
      <w:proofErr w:type="gramStart"/>
      <w:r w:rsidR="004666F1">
        <w:t>ARIMA(</w:t>
      </w:r>
      <w:proofErr w:type="gramEnd"/>
      <w:r w:rsidR="004666F1">
        <w:t>3,1,1).</w:t>
      </w:r>
      <w:r w:rsidR="00F97F7B">
        <w:t xml:space="preserve"> Another interpretation of the ACF and the PACF is that the ACF seems to dies </w:t>
      </w:r>
      <w:proofErr w:type="gramStart"/>
      <w:r w:rsidR="00F97F7B">
        <w:t>down(</w:t>
      </w:r>
      <w:proofErr w:type="gramEnd"/>
      <w:r w:rsidR="00F97F7B">
        <w:t xml:space="preserve">possibly </w:t>
      </w:r>
      <w:r w:rsidR="00920AB4">
        <w:t>in a sinusoidal manner</w:t>
      </w:r>
      <w:r w:rsidR="00F97F7B">
        <w:t xml:space="preserve">) and the PACF cuts off after lag 3. So maybe an </w:t>
      </w:r>
      <w:proofErr w:type="gramStart"/>
      <w:r w:rsidR="00F97F7B">
        <w:t>AR(</w:t>
      </w:r>
      <w:proofErr w:type="gramEnd"/>
      <w:r w:rsidR="00F97F7B">
        <w:t xml:space="preserve">3) on the differenced data or an ARIMA(3,1,0) on the reciprocal data. </w:t>
      </w:r>
    </w:p>
    <w:p w:rsidR="008B2A3C" w:rsidRDefault="0056032C" w:rsidP="004666F1">
      <w:pPr>
        <w:jc w:val="both"/>
      </w:pPr>
      <w:r>
        <w:rPr>
          <w:noProof/>
        </w:rPr>
        <w:drawing>
          <wp:inline distT="0" distB="0" distL="0" distR="0" wp14:anchorId="57C221DE" wp14:editId="4D9A2EF8">
            <wp:extent cx="5939790" cy="190055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00555"/>
                    </a:xfrm>
                    <a:prstGeom prst="rect">
                      <a:avLst/>
                    </a:prstGeom>
                    <a:noFill/>
                    <a:ln>
                      <a:noFill/>
                    </a:ln>
                  </pic:spPr>
                </pic:pic>
              </a:graphicData>
            </a:graphic>
          </wp:inline>
        </w:drawing>
      </w:r>
    </w:p>
    <w:p w:rsidR="00043371" w:rsidRDefault="00043371" w:rsidP="00EA7096">
      <w:pPr>
        <w:jc w:val="both"/>
        <w:rPr>
          <w:b/>
          <w:i/>
          <w:color w:val="7F7F7F" w:themeColor="text1" w:themeTint="80"/>
        </w:rPr>
      </w:pPr>
      <w:r w:rsidRPr="00AD5767">
        <w:rPr>
          <w:b/>
          <w:i/>
          <w:color w:val="7F7F7F" w:themeColor="text1" w:themeTint="80"/>
        </w:rPr>
        <w:t>6.11 Two approaches for applying the AIC in conjunction with model construction are described in Section 6.3.3. Using an annual time series of your choice, employ these two procedures for determining the best overall ARMA or ARIMA model to fit to the series.</w:t>
      </w:r>
    </w:p>
    <w:p w:rsidR="002A3482" w:rsidRPr="002A3482" w:rsidRDefault="002A3482" w:rsidP="00EA7096">
      <w:pPr>
        <w:jc w:val="both"/>
        <w:rPr>
          <w:color w:val="000000" w:themeColor="text1"/>
          <w:u w:val="single"/>
        </w:rPr>
      </w:pPr>
      <w:r w:rsidRPr="002A3482">
        <w:rPr>
          <w:color w:val="000000" w:themeColor="text1"/>
          <w:u w:val="single"/>
        </w:rPr>
        <w:t>MODEL SELECTION</w:t>
      </w:r>
    </w:p>
    <w:p w:rsidR="002A3482" w:rsidRDefault="00800D0F" w:rsidP="00BD423F">
      <w:pPr>
        <w:jc w:val="both"/>
      </w:pPr>
      <w:proofErr w:type="gramStart"/>
      <w:r w:rsidRPr="00800D0F">
        <w:t>ANS</w:t>
      </w:r>
      <w:r>
        <w:t xml:space="preserve"> :</w:t>
      </w:r>
      <w:proofErr w:type="gramEnd"/>
      <w:r>
        <w:t xml:space="preserve"> </w:t>
      </w:r>
      <w:r w:rsidR="003B5E2F">
        <w:t xml:space="preserve"> </w:t>
      </w:r>
      <w:r>
        <w:t>MAICE(Minimum AIC esti</w:t>
      </w:r>
      <w:r w:rsidR="00C01A95">
        <w:t xml:space="preserve">mation)asks to calculate two values. 1) The </w:t>
      </w:r>
      <w:r>
        <w:t xml:space="preserve">AIC </w:t>
      </w:r>
      <w:r w:rsidR="00C01A95">
        <w:t>and 2) The BIC for all possible models</w:t>
      </w:r>
      <w:r w:rsidR="00BD423F">
        <w:t xml:space="preserve">. </w:t>
      </w:r>
      <w:r w:rsidR="00243684">
        <w:t xml:space="preserve">From the previous question, we decided that an </w:t>
      </w:r>
      <w:proofErr w:type="gramStart"/>
      <w:r w:rsidR="00243684">
        <w:t>ARIMA(</w:t>
      </w:r>
      <w:proofErr w:type="gramEnd"/>
      <w:r w:rsidR="00243684">
        <w:t>3,1,1)</w:t>
      </w:r>
      <w:r w:rsidR="00F97F7B">
        <w:t xml:space="preserve"> or ARIMA(3,1,0)</w:t>
      </w:r>
      <w:r w:rsidR="00243684">
        <w:t xml:space="preserve"> would be suitable for the model.</w:t>
      </w:r>
      <w:r w:rsidR="00C8114E">
        <w:t xml:space="preserve"> W</w:t>
      </w:r>
      <w:r w:rsidR="00243684">
        <w:t xml:space="preserve">e can consider </w:t>
      </w:r>
      <w:r w:rsidR="00C8114E">
        <w:t xml:space="preserve">also </w:t>
      </w:r>
      <w:proofErr w:type="gramStart"/>
      <w:r w:rsidR="008D5CF8">
        <w:t>ARIMA(</w:t>
      </w:r>
      <w:proofErr w:type="gramEnd"/>
      <w:r w:rsidR="008D5CF8">
        <w:t>2,1,1)</w:t>
      </w:r>
      <w:r w:rsidR="00BD423F">
        <w:t xml:space="preserve"> and ARIMA(1,1,4) to examine the effects of changing the number of parameters</w:t>
      </w:r>
      <w:r w:rsidR="008D5CF8">
        <w:t xml:space="preserve">. </w:t>
      </w:r>
      <w:r w:rsidR="00BD423F">
        <w:t>The table listed below articulates our findings.</w:t>
      </w:r>
    </w:p>
    <w:tbl>
      <w:tblPr>
        <w:tblStyle w:val="TableGrid"/>
        <w:tblW w:w="0" w:type="auto"/>
        <w:jc w:val="center"/>
        <w:tblInd w:w="828" w:type="dxa"/>
        <w:tblLook w:val="04A0" w:firstRow="1" w:lastRow="0" w:firstColumn="1" w:lastColumn="0" w:noHBand="0" w:noVBand="1"/>
      </w:tblPr>
      <w:tblGrid>
        <w:gridCol w:w="2364"/>
        <w:gridCol w:w="1866"/>
        <w:gridCol w:w="1800"/>
      </w:tblGrid>
      <w:tr w:rsidR="00BD423F" w:rsidTr="009F6477">
        <w:trPr>
          <w:jc w:val="center"/>
        </w:trPr>
        <w:tc>
          <w:tcPr>
            <w:tcW w:w="2364" w:type="dxa"/>
            <w:shd w:val="clear" w:color="auto" w:fill="EEECE1" w:themeFill="background2"/>
            <w:vAlign w:val="center"/>
          </w:tcPr>
          <w:p w:rsidR="00BD423F" w:rsidRPr="00BD423F" w:rsidRDefault="00BD423F" w:rsidP="005C2FEA">
            <w:pPr>
              <w:jc w:val="center"/>
              <w:rPr>
                <w:b/>
              </w:rPr>
            </w:pPr>
            <w:r w:rsidRPr="00BD423F">
              <w:rPr>
                <w:b/>
              </w:rPr>
              <w:t>Model</w:t>
            </w:r>
          </w:p>
        </w:tc>
        <w:tc>
          <w:tcPr>
            <w:tcW w:w="1866" w:type="dxa"/>
            <w:shd w:val="clear" w:color="auto" w:fill="EEECE1" w:themeFill="background2"/>
            <w:vAlign w:val="center"/>
          </w:tcPr>
          <w:p w:rsidR="00BD423F" w:rsidRPr="00BD423F" w:rsidRDefault="00BD423F" w:rsidP="005C2FEA">
            <w:pPr>
              <w:jc w:val="center"/>
              <w:rPr>
                <w:b/>
              </w:rPr>
            </w:pPr>
            <w:r w:rsidRPr="00BD423F">
              <w:rPr>
                <w:b/>
              </w:rPr>
              <w:t>AIC</w:t>
            </w:r>
          </w:p>
        </w:tc>
        <w:tc>
          <w:tcPr>
            <w:tcW w:w="1800" w:type="dxa"/>
            <w:shd w:val="clear" w:color="auto" w:fill="EEECE1" w:themeFill="background2"/>
            <w:vAlign w:val="center"/>
          </w:tcPr>
          <w:p w:rsidR="00BD423F" w:rsidRPr="00BD423F" w:rsidRDefault="00BD423F" w:rsidP="005C2FEA">
            <w:pPr>
              <w:jc w:val="center"/>
              <w:rPr>
                <w:b/>
              </w:rPr>
            </w:pPr>
            <w:r w:rsidRPr="00BD423F">
              <w:rPr>
                <w:b/>
              </w:rPr>
              <w:t>BIC</w:t>
            </w:r>
          </w:p>
        </w:tc>
      </w:tr>
      <w:tr w:rsidR="00BD423F" w:rsidTr="00397D11">
        <w:trPr>
          <w:jc w:val="center"/>
        </w:trPr>
        <w:tc>
          <w:tcPr>
            <w:tcW w:w="2364" w:type="dxa"/>
            <w:shd w:val="clear" w:color="auto" w:fill="auto"/>
            <w:vAlign w:val="center"/>
          </w:tcPr>
          <w:p w:rsidR="00BD423F" w:rsidRDefault="00BD423F" w:rsidP="005C2FEA">
            <w:pPr>
              <w:jc w:val="center"/>
            </w:pPr>
            <w:r>
              <w:t>ARIMA(3,1,1)</w:t>
            </w:r>
          </w:p>
        </w:tc>
        <w:tc>
          <w:tcPr>
            <w:tcW w:w="1866" w:type="dxa"/>
            <w:shd w:val="clear" w:color="auto" w:fill="auto"/>
            <w:vAlign w:val="center"/>
          </w:tcPr>
          <w:p w:rsidR="00BD423F" w:rsidRDefault="00397D11" w:rsidP="00397D11">
            <w:pPr>
              <w:jc w:val="center"/>
            </w:pPr>
            <w:r>
              <w:t>279.5676</w:t>
            </w:r>
          </w:p>
        </w:tc>
        <w:tc>
          <w:tcPr>
            <w:tcW w:w="1800" w:type="dxa"/>
            <w:shd w:val="clear" w:color="auto" w:fill="auto"/>
            <w:vAlign w:val="center"/>
          </w:tcPr>
          <w:p w:rsidR="00BD423F" w:rsidRDefault="00397D11" w:rsidP="00477162">
            <w:pPr>
              <w:jc w:val="center"/>
            </w:pPr>
            <w:r>
              <w:t>288.4886</w:t>
            </w:r>
          </w:p>
        </w:tc>
      </w:tr>
      <w:tr w:rsidR="00BD423F" w:rsidTr="00397D11">
        <w:trPr>
          <w:jc w:val="center"/>
        </w:trPr>
        <w:tc>
          <w:tcPr>
            <w:tcW w:w="2364" w:type="dxa"/>
            <w:shd w:val="clear" w:color="auto" w:fill="D6E3BC" w:themeFill="accent3" w:themeFillTint="66"/>
            <w:vAlign w:val="center"/>
          </w:tcPr>
          <w:p w:rsidR="00BD423F" w:rsidRDefault="00BD423F" w:rsidP="005C2FEA">
            <w:pPr>
              <w:jc w:val="center"/>
            </w:pPr>
            <w:r>
              <w:t>ARIMA(3,1,0)</w:t>
            </w:r>
          </w:p>
        </w:tc>
        <w:tc>
          <w:tcPr>
            <w:tcW w:w="1866" w:type="dxa"/>
            <w:shd w:val="clear" w:color="auto" w:fill="FFFF99"/>
            <w:vAlign w:val="center"/>
          </w:tcPr>
          <w:p w:rsidR="00BD423F" w:rsidRDefault="00397D11" w:rsidP="005C2FEA">
            <w:pPr>
              <w:jc w:val="center"/>
            </w:pPr>
            <w:r>
              <w:t>277.572</w:t>
            </w:r>
          </w:p>
        </w:tc>
        <w:tc>
          <w:tcPr>
            <w:tcW w:w="1800" w:type="dxa"/>
            <w:shd w:val="clear" w:color="auto" w:fill="FFFF99"/>
            <w:vAlign w:val="center"/>
          </w:tcPr>
          <w:p w:rsidR="00BD423F" w:rsidRDefault="00397D11" w:rsidP="00477162">
            <w:pPr>
              <w:jc w:val="center"/>
            </w:pPr>
            <w:r>
              <w:t>284.7087</w:t>
            </w:r>
          </w:p>
        </w:tc>
      </w:tr>
      <w:tr w:rsidR="00BD423F" w:rsidTr="009F6477">
        <w:trPr>
          <w:jc w:val="center"/>
        </w:trPr>
        <w:tc>
          <w:tcPr>
            <w:tcW w:w="2364" w:type="dxa"/>
            <w:vAlign w:val="center"/>
          </w:tcPr>
          <w:p w:rsidR="00BD423F" w:rsidRDefault="00BD423F" w:rsidP="005C2FEA">
            <w:pPr>
              <w:jc w:val="center"/>
            </w:pPr>
            <w:r>
              <w:t>ARIMA(2,1,1)</w:t>
            </w:r>
          </w:p>
        </w:tc>
        <w:tc>
          <w:tcPr>
            <w:tcW w:w="1866" w:type="dxa"/>
            <w:vAlign w:val="center"/>
          </w:tcPr>
          <w:p w:rsidR="00BD423F" w:rsidRDefault="005C2FEA" w:rsidP="005C2FEA">
            <w:pPr>
              <w:jc w:val="center"/>
            </w:pPr>
            <w:r>
              <w:t>282.1183</w:t>
            </w:r>
          </w:p>
        </w:tc>
        <w:tc>
          <w:tcPr>
            <w:tcW w:w="1800" w:type="dxa"/>
            <w:vAlign w:val="center"/>
          </w:tcPr>
          <w:p w:rsidR="00BD423F" w:rsidRDefault="00397D11" w:rsidP="00477162">
            <w:pPr>
              <w:jc w:val="center"/>
            </w:pPr>
            <w:r>
              <w:t>285.7712</w:t>
            </w:r>
          </w:p>
        </w:tc>
      </w:tr>
      <w:tr w:rsidR="00BD423F" w:rsidTr="00397D11">
        <w:trPr>
          <w:jc w:val="center"/>
        </w:trPr>
        <w:tc>
          <w:tcPr>
            <w:tcW w:w="2364" w:type="dxa"/>
            <w:vAlign w:val="center"/>
          </w:tcPr>
          <w:p w:rsidR="00BD423F" w:rsidRDefault="00D107C0" w:rsidP="005C2FEA">
            <w:pPr>
              <w:jc w:val="center"/>
            </w:pPr>
            <w:r>
              <w:t>ARIMA(1,1,4)</w:t>
            </w:r>
          </w:p>
        </w:tc>
        <w:tc>
          <w:tcPr>
            <w:tcW w:w="1866" w:type="dxa"/>
            <w:shd w:val="clear" w:color="auto" w:fill="auto"/>
            <w:vAlign w:val="center"/>
          </w:tcPr>
          <w:p w:rsidR="00BD423F" w:rsidRDefault="00397D11" w:rsidP="005C2FEA">
            <w:pPr>
              <w:jc w:val="center"/>
            </w:pPr>
            <w:r>
              <w:t>281.2532</w:t>
            </w:r>
          </w:p>
        </w:tc>
        <w:tc>
          <w:tcPr>
            <w:tcW w:w="1800" w:type="dxa"/>
            <w:vAlign w:val="center"/>
          </w:tcPr>
          <w:p w:rsidR="00BD423F" w:rsidRDefault="00397D11" w:rsidP="00477162">
            <w:pPr>
              <w:jc w:val="center"/>
            </w:pPr>
            <w:r>
              <w:t>291.9583</w:t>
            </w:r>
          </w:p>
        </w:tc>
      </w:tr>
    </w:tbl>
    <w:p w:rsidR="00B24D05" w:rsidRPr="00800D0F" w:rsidRDefault="004E12EB" w:rsidP="00432830">
      <w:pPr>
        <w:pStyle w:val="ListParagraph"/>
        <w:ind w:left="270" w:firstLine="90"/>
        <w:jc w:val="both"/>
      </w:pPr>
      <w:bookmarkStart w:id="0" w:name="_GoBack"/>
      <w:bookmarkEnd w:id="0"/>
      <w:r>
        <w:lastRenderedPageBreak/>
        <w:t>The lowest AIC value belongs to the ARIMA(</w:t>
      </w:r>
      <w:r w:rsidR="00397D11">
        <w:t>3,1,0</w:t>
      </w:r>
      <w:r>
        <w:t>) model</w:t>
      </w:r>
      <w:r w:rsidR="00EA72C2">
        <w:t xml:space="preserve"> </w:t>
      </w:r>
      <w:r w:rsidR="00397D11">
        <w:t>and t</w:t>
      </w:r>
      <w:r w:rsidR="00003879">
        <w:t>he highest AIC is that of the ARIMA(</w:t>
      </w:r>
      <w:r w:rsidR="00397D11">
        <w:t>2,1,1</w:t>
      </w:r>
      <w:r w:rsidR="00003879">
        <w:t xml:space="preserve">) model. The lowest BIC value </w:t>
      </w:r>
      <w:r w:rsidR="00397D11">
        <w:t xml:space="preserve">again </w:t>
      </w:r>
      <w:r w:rsidR="00003879">
        <w:t xml:space="preserve">belongs to the </w:t>
      </w:r>
      <w:proofErr w:type="gramStart"/>
      <w:r w:rsidR="00397D11">
        <w:t>ARIMA(</w:t>
      </w:r>
      <w:proofErr w:type="gramEnd"/>
      <w:r w:rsidR="00397D11">
        <w:t>3,1,0</w:t>
      </w:r>
      <w:r w:rsidR="00145BD6">
        <w:t>) model</w:t>
      </w:r>
      <w:r w:rsidR="00397D11">
        <w:t xml:space="preserve"> and</w:t>
      </w:r>
      <w:r w:rsidR="00145BD6">
        <w:t xml:space="preserve"> the highest BIC is that of the ARIMA(</w:t>
      </w:r>
      <w:r w:rsidR="00397D11">
        <w:t>1,1,4</w:t>
      </w:r>
      <w:r w:rsidR="00145BD6">
        <w:t xml:space="preserve">) model. Hence, considering </w:t>
      </w:r>
      <w:r w:rsidR="003059EA">
        <w:t>low values for b</w:t>
      </w:r>
      <w:r w:rsidR="00397D11">
        <w:t xml:space="preserve">oth the AIC and BIC, </w:t>
      </w:r>
      <w:proofErr w:type="gramStart"/>
      <w:r w:rsidR="00397D11">
        <w:t>ARIMA(</w:t>
      </w:r>
      <w:proofErr w:type="gramEnd"/>
      <w:r w:rsidR="00397D11">
        <w:t>3,1,0</w:t>
      </w:r>
      <w:r w:rsidR="003059EA">
        <w:t xml:space="preserve">) seems like </w:t>
      </w:r>
      <w:r w:rsidR="00663392">
        <w:t xml:space="preserve">the </w:t>
      </w:r>
      <w:r w:rsidR="003059EA">
        <w:t>best out of all options.</w:t>
      </w:r>
    </w:p>
    <w:p w:rsidR="00043371" w:rsidRDefault="00043371" w:rsidP="00EA7096">
      <w:pPr>
        <w:jc w:val="both"/>
        <w:rPr>
          <w:b/>
          <w:i/>
          <w:color w:val="7F7F7F" w:themeColor="text1" w:themeTint="80"/>
        </w:rPr>
      </w:pPr>
      <w:r w:rsidRPr="00AD5767">
        <w:rPr>
          <w:b/>
          <w:i/>
          <w:color w:val="7F7F7F" w:themeColor="text1" w:themeTint="80"/>
        </w:rPr>
        <w:t xml:space="preserve">7.1 Select an average annual time series that is of interest to you. Following the three stages of model construction and using an available time series program such as the MH package mentioned in Section 1.7, fit the most appropriate </w:t>
      </w:r>
      <w:proofErr w:type="gramStart"/>
      <w:r w:rsidRPr="00AD5767">
        <w:rPr>
          <w:b/>
          <w:i/>
          <w:color w:val="7F7F7F" w:themeColor="text1" w:themeTint="80"/>
        </w:rPr>
        <w:t>ARMA(</w:t>
      </w:r>
      <w:proofErr w:type="spellStart"/>
      <w:proofErr w:type="gramEnd"/>
      <w:r w:rsidRPr="00AD5767">
        <w:rPr>
          <w:b/>
          <w:i/>
          <w:color w:val="7F7F7F" w:themeColor="text1" w:themeTint="80"/>
        </w:rPr>
        <w:t>p,q</w:t>
      </w:r>
      <w:proofErr w:type="spellEnd"/>
      <w:r w:rsidRPr="00AD5767">
        <w:rPr>
          <w:b/>
          <w:i/>
          <w:color w:val="7F7F7F" w:themeColor="text1" w:themeTint="80"/>
        </w:rPr>
        <w:t xml:space="preserve">) model to the dataset. </w:t>
      </w:r>
      <w:proofErr w:type="spellStart"/>
      <w:r w:rsidRPr="00AD5767">
        <w:rPr>
          <w:b/>
          <w:i/>
          <w:color w:val="7F7F7F" w:themeColor="text1" w:themeTint="80"/>
        </w:rPr>
        <w:t>Overspecify</w:t>
      </w:r>
      <w:proofErr w:type="spellEnd"/>
      <w:r w:rsidRPr="00AD5767">
        <w:rPr>
          <w:b/>
          <w:i/>
          <w:color w:val="7F7F7F" w:themeColor="text1" w:themeTint="80"/>
        </w:rPr>
        <w:t xml:space="preserve"> the fitted model by adding an additional MA or AR parameter. Estimate the parameters of the </w:t>
      </w:r>
      <w:proofErr w:type="spellStart"/>
      <w:r w:rsidRPr="00AD5767">
        <w:rPr>
          <w:b/>
          <w:i/>
          <w:color w:val="7F7F7F" w:themeColor="text1" w:themeTint="80"/>
        </w:rPr>
        <w:t>overspecified</w:t>
      </w:r>
      <w:proofErr w:type="spellEnd"/>
      <w:r w:rsidRPr="00AD5767">
        <w:rPr>
          <w:b/>
          <w:i/>
          <w:color w:val="7F7F7F" w:themeColor="text1" w:themeTint="80"/>
        </w:rPr>
        <w:t xml:space="preserve"> model and comment upon the size of the SE’s. Employ the likelihood ratio test of [7.2</w:t>
      </w:r>
      <w:r w:rsidR="00F42CDF">
        <w:rPr>
          <w:b/>
          <w:i/>
          <w:color w:val="7F7F7F" w:themeColor="text1" w:themeTint="80"/>
        </w:rPr>
        <w:t>.1] to ascertain if overfitting</w:t>
      </w:r>
      <w:r w:rsidRPr="00AD5767">
        <w:rPr>
          <w:b/>
          <w:i/>
          <w:color w:val="7F7F7F" w:themeColor="text1" w:themeTint="80"/>
        </w:rPr>
        <w:t xml:space="preserve"> is needed to start with and also to determine if the </w:t>
      </w:r>
      <w:proofErr w:type="spellStart"/>
      <w:r w:rsidRPr="00AD5767">
        <w:rPr>
          <w:b/>
          <w:i/>
          <w:color w:val="7F7F7F" w:themeColor="text1" w:themeTint="80"/>
        </w:rPr>
        <w:t>overfitted</w:t>
      </w:r>
      <w:proofErr w:type="spellEnd"/>
      <w:r w:rsidRPr="00AD5767">
        <w:rPr>
          <w:b/>
          <w:i/>
          <w:color w:val="7F7F7F" w:themeColor="text1" w:themeTint="80"/>
        </w:rPr>
        <w:t xml:space="preserve"> model is better than the simpler model</w:t>
      </w:r>
    </w:p>
    <w:p w:rsidR="002A3482" w:rsidRDefault="00183BA5" w:rsidP="00EA7096">
      <w:pPr>
        <w:jc w:val="both"/>
        <w:rPr>
          <w:color w:val="000000" w:themeColor="text1"/>
        </w:rPr>
      </w:pPr>
      <w:proofErr w:type="gramStart"/>
      <w:r>
        <w:rPr>
          <w:color w:val="000000" w:themeColor="text1"/>
        </w:rPr>
        <w:t>ANS :</w:t>
      </w:r>
      <w:proofErr w:type="gramEnd"/>
      <w:r>
        <w:rPr>
          <w:color w:val="000000" w:themeColor="text1"/>
        </w:rPr>
        <w:t xml:space="preserve"> </w:t>
      </w:r>
    </w:p>
    <w:p w:rsidR="002A3482" w:rsidRPr="002A3482" w:rsidRDefault="002A3482" w:rsidP="00EA7096">
      <w:pPr>
        <w:jc w:val="both"/>
        <w:rPr>
          <w:color w:val="000000" w:themeColor="text1"/>
          <w:u w:val="single"/>
        </w:rPr>
      </w:pPr>
      <w:r w:rsidRPr="002A3482">
        <w:rPr>
          <w:color w:val="000000" w:themeColor="text1"/>
          <w:u w:val="single"/>
        </w:rPr>
        <w:t>PARAMETER ESTIMATION</w:t>
      </w:r>
    </w:p>
    <w:p w:rsidR="00183BA5" w:rsidRDefault="00183BA5" w:rsidP="00EA7096">
      <w:pPr>
        <w:jc w:val="both"/>
        <w:rPr>
          <w:color w:val="000000" w:themeColor="text1"/>
        </w:rPr>
      </w:pPr>
      <w:r>
        <w:rPr>
          <w:color w:val="000000" w:themeColor="text1"/>
        </w:rPr>
        <w:t xml:space="preserve">The parameter estimation for the </w:t>
      </w:r>
      <w:r w:rsidR="007E2239">
        <w:rPr>
          <w:color w:val="000000" w:themeColor="text1"/>
        </w:rPr>
        <w:t xml:space="preserve">models mentioned previously </w:t>
      </w:r>
      <w:r w:rsidR="00077352">
        <w:rPr>
          <w:color w:val="000000" w:themeColor="text1"/>
        </w:rPr>
        <w:t>is</w:t>
      </w:r>
      <w:r>
        <w:rPr>
          <w:color w:val="000000" w:themeColor="text1"/>
        </w:rPr>
        <w:t xml:space="preserve"> </w:t>
      </w:r>
      <w:r w:rsidR="0015721A">
        <w:rPr>
          <w:color w:val="000000" w:themeColor="text1"/>
        </w:rPr>
        <w:t xml:space="preserve">as given below: </w:t>
      </w:r>
    </w:p>
    <w:tbl>
      <w:tblPr>
        <w:tblStyle w:val="TableGrid"/>
        <w:tblW w:w="0" w:type="auto"/>
        <w:jc w:val="center"/>
        <w:tblLook w:val="04A0" w:firstRow="1" w:lastRow="0" w:firstColumn="1" w:lastColumn="0" w:noHBand="0" w:noVBand="1"/>
      </w:tblPr>
      <w:tblGrid>
        <w:gridCol w:w="1521"/>
        <w:gridCol w:w="1577"/>
        <w:gridCol w:w="1125"/>
        <w:gridCol w:w="1108"/>
        <w:gridCol w:w="847"/>
      </w:tblGrid>
      <w:tr w:rsidR="00183BA5" w:rsidTr="0015721A">
        <w:trPr>
          <w:jc w:val="center"/>
        </w:trPr>
        <w:tc>
          <w:tcPr>
            <w:tcW w:w="1521" w:type="dxa"/>
          </w:tcPr>
          <w:p w:rsidR="00183BA5" w:rsidRPr="00183BA5" w:rsidRDefault="00183BA5" w:rsidP="00691E16">
            <w:pPr>
              <w:jc w:val="center"/>
              <w:rPr>
                <w:b/>
                <w:color w:val="000000" w:themeColor="text1"/>
              </w:rPr>
            </w:pPr>
            <w:r w:rsidRPr="00183BA5">
              <w:rPr>
                <w:b/>
                <w:color w:val="000000" w:themeColor="text1"/>
              </w:rPr>
              <w:t>MODEL</w:t>
            </w:r>
          </w:p>
        </w:tc>
        <w:tc>
          <w:tcPr>
            <w:tcW w:w="1577" w:type="dxa"/>
          </w:tcPr>
          <w:p w:rsidR="00183BA5" w:rsidRPr="00183BA5" w:rsidRDefault="00183BA5" w:rsidP="00183BA5">
            <w:pPr>
              <w:jc w:val="center"/>
              <w:rPr>
                <w:b/>
                <w:color w:val="000000" w:themeColor="text1"/>
              </w:rPr>
            </w:pPr>
            <w:r w:rsidRPr="00183BA5">
              <w:rPr>
                <w:b/>
                <w:color w:val="000000" w:themeColor="text1"/>
              </w:rPr>
              <w:t>PARAMETERS</w:t>
            </w:r>
          </w:p>
        </w:tc>
        <w:tc>
          <w:tcPr>
            <w:tcW w:w="1125" w:type="dxa"/>
          </w:tcPr>
          <w:p w:rsidR="00183BA5" w:rsidRPr="00183BA5" w:rsidRDefault="00183BA5" w:rsidP="00691E16">
            <w:pPr>
              <w:jc w:val="center"/>
              <w:rPr>
                <w:b/>
                <w:color w:val="000000" w:themeColor="text1"/>
              </w:rPr>
            </w:pPr>
            <w:r w:rsidRPr="00183BA5">
              <w:rPr>
                <w:b/>
                <w:color w:val="000000" w:themeColor="text1"/>
              </w:rPr>
              <w:t>MLE</w:t>
            </w:r>
          </w:p>
        </w:tc>
        <w:tc>
          <w:tcPr>
            <w:tcW w:w="1108" w:type="dxa"/>
          </w:tcPr>
          <w:p w:rsidR="00183BA5" w:rsidRPr="00183BA5" w:rsidRDefault="00183BA5" w:rsidP="00691E16">
            <w:pPr>
              <w:jc w:val="center"/>
              <w:rPr>
                <w:b/>
                <w:color w:val="000000" w:themeColor="text1"/>
              </w:rPr>
            </w:pPr>
            <w:r w:rsidRPr="00183BA5">
              <w:rPr>
                <w:b/>
                <w:color w:val="000000" w:themeColor="text1"/>
              </w:rPr>
              <w:t>SE</w:t>
            </w:r>
          </w:p>
        </w:tc>
        <w:tc>
          <w:tcPr>
            <w:tcW w:w="847" w:type="dxa"/>
          </w:tcPr>
          <w:p w:rsidR="00183BA5" w:rsidRPr="00183BA5" w:rsidRDefault="00183BA5" w:rsidP="00183BA5">
            <w:pPr>
              <w:jc w:val="center"/>
              <w:rPr>
                <w:b/>
                <w:color w:val="000000" w:themeColor="text1"/>
              </w:rPr>
            </w:pPr>
            <w:r w:rsidRPr="00183BA5">
              <w:rPr>
                <w:rFonts w:cstheme="minorHAnsi"/>
                <w:b/>
                <w:color w:val="000000" w:themeColor="text1"/>
              </w:rPr>
              <w:t>σ</w:t>
            </w:r>
            <w:r w:rsidRPr="00183BA5">
              <w:rPr>
                <w:b/>
                <w:color w:val="000000" w:themeColor="text1"/>
                <w:vertAlign w:val="subscript"/>
              </w:rPr>
              <w:t>a</w:t>
            </w:r>
            <w:r w:rsidRPr="00183BA5">
              <w:rPr>
                <w:b/>
                <w:color w:val="000000" w:themeColor="text1"/>
                <w:vertAlign w:val="superscript"/>
              </w:rPr>
              <w:t>2</w:t>
            </w:r>
          </w:p>
        </w:tc>
      </w:tr>
      <w:tr w:rsidR="00183BA5" w:rsidTr="0015721A">
        <w:trPr>
          <w:jc w:val="center"/>
        </w:trPr>
        <w:tc>
          <w:tcPr>
            <w:tcW w:w="1521" w:type="dxa"/>
          </w:tcPr>
          <w:p w:rsidR="00183BA5" w:rsidRDefault="00691E16" w:rsidP="00691E16">
            <w:pPr>
              <w:jc w:val="center"/>
              <w:rPr>
                <w:color w:val="000000" w:themeColor="text1"/>
              </w:rPr>
            </w:pPr>
            <w:r>
              <w:rPr>
                <w:color w:val="000000" w:themeColor="text1"/>
              </w:rPr>
              <w:t>ARIMA(3,1,1)</w:t>
            </w:r>
          </w:p>
        </w:tc>
        <w:tc>
          <w:tcPr>
            <w:tcW w:w="1577" w:type="dxa"/>
          </w:tcPr>
          <w:p w:rsidR="00691E16" w:rsidRPr="00691E16" w:rsidRDefault="00691E16" w:rsidP="00691E16">
            <w:pPr>
              <w:jc w:val="center"/>
              <w:rPr>
                <w:color w:val="000000" w:themeColor="text1"/>
                <w:vertAlign w:val="subscript"/>
              </w:rPr>
            </w:pPr>
            <w:r>
              <w:rPr>
                <w:rFonts w:cstheme="minorHAnsi"/>
                <w:color w:val="000000" w:themeColor="text1"/>
              </w:rPr>
              <w:t>ɸ</w:t>
            </w:r>
            <w:r>
              <w:rPr>
                <w:rFonts w:cstheme="minorHAnsi"/>
                <w:color w:val="000000" w:themeColor="text1"/>
                <w:vertAlign w:val="subscript"/>
              </w:rPr>
              <w:t>1</w:t>
            </w:r>
          </w:p>
          <w:p w:rsidR="00691E16" w:rsidRPr="00691E16" w:rsidRDefault="00691E16" w:rsidP="00691E16">
            <w:pPr>
              <w:jc w:val="center"/>
              <w:rPr>
                <w:color w:val="000000" w:themeColor="text1"/>
              </w:rPr>
            </w:pPr>
            <w:r>
              <w:rPr>
                <w:rFonts w:cstheme="minorHAnsi"/>
                <w:color w:val="000000" w:themeColor="text1"/>
              </w:rPr>
              <w:t>ɸ</w:t>
            </w:r>
            <w:r>
              <w:rPr>
                <w:rFonts w:cstheme="minorHAnsi"/>
                <w:color w:val="000000" w:themeColor="text1"/>
                <w:vertAlign w:val="subscript"/>
              </w:rPr>
              <w:t>2</w:t>
            </w:r>
          </w:p>
          <w:p w:rsidR="00691E16" w:rsidRPr="00691E16" w:rsidRDefault="00691E16" w:rsidP="00691E16">
            <w:pPr>
              <w:jc w:val="center"/>
              <w:rPr>
                <w:color w:val="000000" w:themeColor="text1"/>
              </w:rPr>
            </w:pPr>
            <w:r>
              <w:rPr>
                <w:rFonts w:cstheme="minorHAnsi"/>
                <w:color w:val="000000" w:themeColor="text1"/>
              </w:rPr>
              <w:t>ɸ</w:t>
            </w:r>
            <w:r>
              <w:rPr>
                <w:rFonts w:cstheme="minorHAnsi"/>
                <w:color w:val="000000" w:themeColor="text1"/>
                <w:vertAlign w:val="subscript"/>
              </w:rPr>
              <w:t>3</w:t>
            </w:r>
          </w:p>
          <w:p w:rsidR="00183BA5" w:rsidRPr="00691E16" w:rsidRDefault="00691E16" w:rsidP="00691E16">
            <w:pPr>
              <w:jc w:val="center"/>
              <w:rPr>
                <w:color w:val="000000" w:themeColor="text1"/>
                <w:vertAlign w:val="subscript"/>
              </w:rPr>
            </w:pPr>
            <w:r>
              <w:rPr>
                <w:rFonts w:ascii="Calibri" w:hAnsi="Calibri" w:cs="Calibri"/>
                <w:color w:val="000000" w:themeColor="text1"/>
              </w:rPr>
              <w:t>θ</w:t>
            </w:r>
            <w:r>
              <w:rPr>
                <w:rFonts w:ascii="Calibri" w:hAnsi="Calibri" w:cs="Calibri"/>
                <w:color w:val="000000" w:themeColor="text1"/>
                <w:vertAlign w:val="subscript"/>
              </w:rPr>
              <w:t>1</w:t>
            </w:r>
          </w:p>
        </w:tc>
        <w:tc>
          <w:tcPr>
            <w:tcW w:w="1125" w:type="dxa"/>
          </w:tcPr>
          <w:p w:rsidR="00691E16" w:rsidRPr="00691E16" w:rsidRDefault="00691E16" w:rsidP="00691E16">
            <w:pPr>
              <w:jc w:val="center"/>
              <w:rPr>
                <w:rFonts w:cstheme="minorHAnsi"/>
                <w:color w:val="000000" w:themeColor="text1"/>
              </w:rPr>
            </w:pPr>
            <w:r w:rsidRPr="00691E16">
              <w:rPr>
                <w:rStyle w:val="gnkrckgcgsb"/>
                <w:rFonts w:cstheme="minorHAnsi"/>
                <w:color w:val="000000"/>
                <w:bdr w:val="none" w:sz="0" w:space="0" w:color="auto" w:frame="1"/>
              </w:rPr>
              <w:t>-</w:t>
            </w:r>
            <w:r w:rsidRPr="00691E16">
              <w:rPr>
                <w:rFonts w:cstheme="minorHAnsi"/>
                <w:color w:val="000000" w:themeColor="text1"/>
              </w:rPr>
              <w:t>0.7542</w:t>
            </w:r>
          </w:p>
          <w:p w:rsidR="00691E16" w:rsidRPr="00691E16" w:rsidRDefault="00691E16" w:rsidP="00691E16">
            <w:pPr>
              <w:jc w:val="center"/>
              <w:rPr>
                <w:rFonts w:cstheme="minorHAnsi"/>
                <w:color w:val="000000" w:themeColor="text1"/>
              </w:rPr>
            </w:pPr>
            <w:r w:rsidRPr="00691E16">
              <w:rPr>
                <w:rFonts w:cstheme="minorHAnsi"/>
                <w:color w:val="000000" w:themeColor="text1"/>
              </w:rPr>
              <w:t>-0.5758</w:t>
            </w:r>
          </w:p>
          <w:p w:rsidR="00691E16" w:rsidRPr="00691E16" w:rsidRDefault="00691E16" w:rsidP="00691E16">
            <w:pPr>
              <w:jc w:val="center"/>
              <w:rPr>
                <w:rFonts w:cstheme="minorHAnsi"/>
                <w:color w:val="000000" w:themeColor="text1"/>
              </w:rPr>
            </w:pPr>
            <w:r w:rsidRPr="00691E16">
              <w:rPr>
                <w:rFonts w:cstheme="minorHAnsi"/>
                <w:color w:val="000000" w:themeColor="text1"/>
              </w:rPr>
              <w:t>-0.3506</w:t>
            </w:r>
          </w:p>
          <w:p w:rsidR="00183BA5" w:rsidRDefault="00691E16" w:rsidP="00691E16">
            <w:pPr>
              <w:jc w:val="center"/>
              <w:rPr>
                <w:color w:val="000000" w:themeColor="text1"/>
              </w:rPr>
            </w:pPr>
            <w:r w:rsidRPr="00691E16">
              <w:rPr>
                <w:rFonts w:cstheme="minorHAnsi"/>
                <w:color w:val="000000" w:themeColor="text1"/>
              </w:rPr>
              <w:t>0.0236</w:t>
            </w:r>
          </w:p>
        </w:tc>
        <w:tc>
          <w:tcPr>
            <w:tcW w:w="1108" w:type="dxa"/>
          </w:tcPr>
          <w:p w:rsidR="00691E16" w:rsidRDefault="00691E16" w:rsidP="00691E16">
            <w:pPr>
              <w:jc w:val="center"/>
              <w:rPr>
                <w:color w:val="000000" w:themeColor="text1"/>
              </w:rPr>
            </w:pPr>
            <w:r w:rsidRPr="00691E16">
              <w:rPr>
                <w:color w:val="000000" w:themeColor="text1"/>
              </w:rPr>
              <w:t>0.3446</w:t>
            </w:r>
          </w:p>
          <w:p w:rsidR="00691E16" w:rsidRDefault="00691E16" w:rsidP="00691E16">
            <w:pPr>
              <w:jc w:val="center"/>
              <w:rPr>
                <w:color w:val="000000" w:themeColor="text1"/>
              </w:rPr>
            </w:pPr>
            <w:r w:rsidRPr="00691E16">
              <w:rPr>
                <w:color w:val="000000" w:themeColor="text1"/>
              </w:rPr>
              <w:t>0.2475</w:t>
            </w:r>
          </w:p>
          <w:p w:rsidR="00691E16" w:rsidRDefault="00691E16" w:rsidP="00691E16">
            <w:pPr>
              <w:jc w:val="center"/>
              <w:rPr>
                <w:color w:val="000000" w:themeColor="text1"/>
              </w:rPr>
            </w:pPr>
            <w:r w:rsidRPr="00691E16">
              <w:rPr>
                <w:color w:val="000000" w:themeColor="text1"/>
              </w:rPr>
              <w:t>0.1806</w:t>
            </w:r>
          </w:p>
          <w:p w:rsidR="00183BA5" w:rsidRDefault="00691E16" w:rsidP="00691E16">
            <w:pPr>
              <w:jc w:val="center"/>
              <w:rPr>
                <w:color w:val="000000" w:themeColor="text1"/>
              </w:rPr>
            </w:pPr>
            <w:r w:rsidRPr="00691E16">
              <w:rPr>
                <w:color w:val="000000" w:themeColor="text1"/>
              </w:rPr>
              <w:t>0.3530</w:t>
            </w:r>
          </w:p>
        </w:tc>
        <w:tc>
          <w:tcPr>
            <w:tcW w:w="847" w:type="dxa"/>
            <w:vAlign w:val="center"/>
          </w:tcPr>
          <w:p w:rsidR="00691E16" w:rsidRPr="00691E16" w:rsidRDefault="00691E16" w:rsidP="00691E16">
            <w:pPr>
              <w:jc w:val="center"/>
              <w:rPr>
                <w:color w:val="000000" w:themeColor="text1"/>
              </w:rPr>
            </w:pPr>
            <w:r w:rsidRPr="00691E16">
              <w:rPr>
                <w:color w:val="000000" w:themeColor="text1"/>
              </w:rPr>
              <w:t>26.28</w:t>
            </w:r>
          </w:p>
          <w:p w:rsidR="00183BA5" w:rsidRDefault="00183BA5" w:rsidP="00691E16">
            <w:pPr>
              <w:jc w:val="center"/>
              <w:rPr>
                <w:color w:val="000000" w:themeColor="text1"/>
              </w:rPr>
            </w:pPr>
          </w:p>
        </w:tc>
      </w:tr>
      <w:tr w:rsidR="00183BA5" w:rsidTr="0015721A">
        <w:trPr>
          <w:jc w:val="center"/>
        </w:trPr>
        <w:tc>
          <w:tcPr>
            <w:tcW w:w="1521" w:type="dxa"/>
          </w:tcPr>
          <w:p w:rsidR="00183BA5" w:rsidRDefault="00691E16" w:rsidP="00691E16">
            <w:pPr>
              <w:jc w:val="center"/>
              <w:rPr>
                <w:color w:val="000000" w:themeColor="text1"/>
              </w:rPr>
            </w:pPr>
            <w:r>
              <w:rPr>
                <w:color w:val="000000" w:themeColor="text1"/>
              </w:rPr>
              <w:t>ARIMA(3,1,0)</w:t>
            </w:r>
          </w:p>
        </w:tc>
        <w:tc>
          <w:tcPr>
            <w:tcW w:w="1577" w:type="dxa"/>
          </w:tcPr>
          <w:p w:rsidR="00691E16" w:rsidRPr="00691E16" w:rsidRDefault="00691E16" w:rsidP="00691E16">
            <w:pPr>
              <w:jc w:val="center"/>
              <w:rPr>
                <w:color w:val="000000" w:themeColor="text1"/>
                <w:vertAlign w:val="subscript"/>
              </w:rPr>
            </w:pPr>
            <w:r w:rsidRPr="00691E16">
              <w:rPr>
                <w:color w:val="000000" w:themeColor="text1"/>
              </w:rPr>
              <w:t>ɸ</w:t>
            </w:r>
            <w:r w:rsidRPr="00691E16">
              <w:rPr>
                <w:color w:val="000000" w:themeColor="text1"/>
                <w:vertAlign w:val="subscript"/>
              </w:rPr>
              <w:t>1</w:t>
            </w:r>
          </w:p>
          <w:p w:rsidR="00691E16" w:rsidRPr="00691E16" w:rsidRDefault="00691E16" w:rsidP="00691E16">
            <w:pPr>
              <w:jc w:val="center"/>
              <w:rPr>
                <w:color w:val="000000" w:themeColor="text1"/>
              </w:rPr>
            </w:pPr>
            <w:r w:rsidRPr="00691E16">
              <w:rPr>
                <w:color w:val="000000" w:themeColor="text1"/>
              </w:rPr>
              <w:t>ɸ</w:t>
            </w:r>
            <w:r w:rsidRPr="00691E16">
              <w:rPr>
                <w:color w:val="000000" w:themeColor="text1"/>
                <w:vertAlign w:val="subscript"/>
              </w:rPr>
              <w:t>2</w:t>
            </w:r>
          </w:p>
          <w:p w:rsidR="00183BA5" w:rsidRDefault="00691E16" w:rsidP="00691E16">
            <w:pPr>
              <w:jc w:val="center"/>
              <w:rPr>
                <w:color w:val="000000" w:themeColor="text1"/>
              </w:rPr>
            </w:pPr>
            <w:r w:rsidRPr="00691E16">
              <w:rPr>
                <w:color w:val="000000" w:themeColor="text1"/>
              </w:rPr>
              <w:t>ɸ</w:t>
            </w:r>
            <w:r w:rsidRPr="00691E16">
              <w:rPr>
                <w:color w:val="000000" w:themeColor="text1"/>
                <w:vertAlign w:val="subscript"/>
              </w:rPr>
              <w:t>3</w:t>
            </w:r>
          </w:p>
        </w:tc>
        <w:tc>
          <w:tcPr>
            <w:tcW w:w="1125" w:type="dxa"/>
          </w:tcPr>
          <w:p w:rsidR="00691E16" w:rsidRDefault="00691E16" w:rsidP="00691E16">
            <w:pPr>
              <w:jc w:val="center"/>
              <w:rPr>
                <w:color w:val="000000" w:themeColor="text1"/>
              </w:rPr>
            </w:pPr>
            <w:r w:rsidRPr="00691E16">
              <w:rPr>
                <w:color w:val="000000" w:themeColor="text1"/>
              </w:rPr>
              <w:t xml:space="preserve">-0.7333  </w:t>
            </w:r>
          </w:p>
          <w:p w:rsidR="00691E16" w:rsidRDefault="00691E16" w:rsidP="00691E16">
            <w:pPr>
              <w:jc w:val="center"/>
              <w:rPr>
                <w:color w:val="000000" w:themeColor="text1"/>
              </w:rPr>
            </w:pPr>
            <w:r w:rsidRPr="00691E16">
              <w:rPr>
                <w:color w:val="000000" w:themeColor="text1"/>
              </w:rPr>
              <w:t xml:space="preserve">-0.5632  </w:t>
            </w:r>
          </w:p>
          <w:p w:rsidR="00183BA5" w:rsidRDefault="00691E16" w:rsidP="00691E16">
            <w:pPr>
              <w:jc w:val="center"/>
              <w:rPr>
                <w:color w:val="000000" w:themeColor="text1"/>
              </w:rPr>
            </w:pPr>
            <w:r w:rsidRPr="00691E16">
              <w:rPr>
                <w:color w:val="000000" w:themeColor="text1"/>
              </w:rPr>
              <w:t>-0.3431</w:t>
            </w:r>
          </w:p>
        </w:tc>
        <w:tc>
          <w:tcPr>
            <w:tcW w:w="1108" w:type="dxa"/>
          </w:tcPr>
          <w:p w:rsidR="00183BA5" w:rsidRDefault="00691E16" w:rsidP="00691E16">
            <w:pPr>
              <w:jc w:val="center"/>
              <w:rPr>
                <w:color w:val="000000" w:themeColor="text1"/>
              </w:rPr>
            </w:pPr>
            <w:r w:rsidRPr="00691E16">
              <w:rPr>
                <w:color w:val="000000" w:themeColor="text1"/>
              </w:rPr>
              <w:t>0.1444   0.1623   0.1449</w:t>
            </w:r>
          </w:p>
        </w:tc>
        <w:tc>
          <w:tcPr>
            <w:tcW w:w="847" w:type="dxa"/>
            <w:vAlign w:val="center"/>
          </w:tcPr>
          <w:p w:rsidR="00691E16" w:rsidRPr="00691E16" w:rsidRDefault="00691E16" w:rsidP="00691E16">
            <w:pPr>
              <w:jc w:val="center"/>
              <w:rPr>
                <w:color w:val="000000" w:themeColor="text1"/>
              </w:rPr>
            </w:pPr>
            <w:r w:rsidRPr="00691E16">
              <w:rPr>
                <w:color w:val="000000" w:themeColor="text1"/>
              </w:rPr>
              <w:t>26.28</w:t>
            </w:r>
          </w:p>
          <w:p w:rsidR="00183BA5" w:rsidRDefault="00183BA5" w:rsidP="00691E16">
            <w:pPr>
              <w:jc w:val="center"/>
              <w:rPr>
                <w:color w:val="000000" w:themeColor="text1"/>
              </w:rPr>
            </w:pPr>
          </w:p>
        </w:tc>
      </w:tr>
      <w:tr w:rsidR="00183BA5" w:rsidTr="0015721A">
        <w:trPr>
          <w:trHeight w:val="773"/>
          <w:jc w:val="center"/>
        </w:trPr>
        <w:tc>
          <w:tcPr>
            <w:tcW w:w="1521" w:type="dxa"/>
          </w:tcPr>
          <w:p w:rsidR="00183BA5" w:rsidRDefault="00691E16" w:rsidP="00691E16">
            <w:pPr>
              <w:jc w:val="center"/>
              <w:rPr>
                <w:color w:val="000000" w:themeColor="text1"/>
              </w:rPr>
            </w:pPr>
            <w:r>
              <w:rPr>
                <w:color w:val="000000" w:themeColor="text1"/>
              </w:rPr>
              <w:t>ARIMA(2,1,1)</w:t>
            </w:r>
          </w:p>
        </w:tc>
        <w:tc>
          <w:tcPr>
            <w:tcW w:w="1577" w:type="dxa"/>
          </w:tcPr>
          <w:p w:rsidR="00691E16" w:rsidRPr="00691E16" w:rsidRDefault="00691E16" w:rsidP="00691E16">
            <w:pPr>
              <w:jc w:val="center"/>
              <w:rPr>
                <w:color w:val="000000" w:themeColor="text1"/>
                <w:vertAlign w:val="subscript"/>
              </w:rPr>
            </w:pPr>
            <w:r w:rsidRPr="00691E16">
              <w:rPr>
                <w:color w:val="000000" w:themeColor="text1"/>
              </w:rPr>
              <w:t>ɸ</w:t>
            </w:r>
            <w:r w:rsidRPr="00691E16">
              <w:rPr>
                <w:color w:val="000000" w:themeColor="text1"/>
                <w:vertAlign w:val="subscript"/>
              </w:rPr>
              <w:t>1</w:t>
            </w:r>
          </w:p>
          <w:p w:rsidR="00691E16" w:rsidRPr="00691E16" w:rsidRDefault="00691E16" w:rsidP="00691E16">
            <w:pPr>
              <w:jc w:val="center"/>
              <w:rPr>
                <w:color w:val="000000" w:themeColor="text1"/>
              </w:rPr>
            </w:pPr>
            <w:r w:rsidRPr="00691E16">
              <w:rPr>
                <w:color w:val="000000" w:themeColor="text1"/>
              </w:rPr>
              <w:t>ɸ</w:t>
            </w:r>
            <w:r w:rsidRPr="00691E16">
              <w:rPr>
                <w:color w:val="000000" w:themeColor="text1"/>
                <w:vertAlign w:val="subscript"/>
              </w:rPr>
              <w:t>2</w:t>
            </w:r>
          </w:p>
          <w:p w:rsidR="00183BA5" w:rsidRDefault="00691E16" w:rsidP="00691E16">
            <w:pPr>
              <w:pStyle w:val="HTMLPreformatted"/>
              <w:shd w:val="clear" w:color="auto" w:fill="FFFFFF"/>
              <w:wordWrap w:val="0"/>
              <w:spacing w:line="225" w:lineRule="atLeast"/>
              <w:jc w:val="center"/>
              <w:rPr>
                <w:color w:val="000000" w:themeColor="text1"/>
              </w:rPr>
            </w:pPr>
            <w:r>
              <w:rPr>
                <w:rFonts w:ascii="Calibri" w:hAnsi="Calibri" w:cs="Calibri"/>
                <w:color w:val="000000" w:themeColor="text1"/>
              </w:rPr>
              <w:t>θ</w:t>
            </w:r>
            <w:r>
              <w:rPr>
                <w:rFonts w:ascii="Calibri" w:hAnsi="Calibri" w:cs="Calibri"/>
                <w:color w:val="000000" w:themeColor="text1"/>
                <w:vertAlign w:val="subscript"/>
              </w:rPr>
              <w:t>1</w:t>
            </w:r>
          </w:p>
        </w:tc>
        <w:tc>
          <w:tcPr>
            <w:tcW w:w="1125" w:type="dxa"/>
          </w:tcPr>
          <w:p w:rsidR="00691E16" w:rsidRDefault="00691E16" w:rsidP="00691E16">
            <w:pPr>
              <w:jc w:val="center"/>
              <w:rPr>
                <w:color w:val="000000" w:themeColor="text1"/>
              </w:rPr>
            </w:pPr>
            <w:r w:rsidRPr="00691E16">
              <w:rPr>
                <w:color w:val="000000" w:themeColor="text1"/>
              </w:rPr>
              <w:t>-0.0523</w:t>
            </w:r>
          </w:p>
          <w:p w:rsidR="00691E16" w:rsidRDefault="00691E16" w:rsidP="00691E16">
            <w:pPr>
              <w:jc w:val="center"/>
              <w:rPr>
                <w:color w:val="000000" w:themeColor="text1"/>
              </w:rPr>
            </w:pPr>
            <w:r w:rsidRPr="00691E16">
              <w:rPr>
                <w:color w:val="000000" w:themeColor="text1"/>
              </w:rPr>
              <w:t>-0.1073</w:t>
            </w:r>
          </w:p>
          <w:p w:rsidR="00183BA5" w:rsidRDefault="00691E16" w:rsidP="00691E16">
            <w:pPr>
              <w:jc w:val="center"/>
              <w:rPr>
                <w:color w:val="000000" w:themeColor="text1"/>
              </w:rPr>
            </w:pPr>
            <w:r w:rsidRPr="00691E16">
              <w:rPr>
                <w:color w:val="000000" w:themeColor="text1"/>
              </w:rPr>
              <w:t>-0.6968</w:t>
            </w:r>
          </w:p>
        </w:tc>
        <w:tc>
          <w:tcPr>
            <w:tcW w:w="1108" w:type="dxa"/>
          </w:tcPr>
          <w:p w:rsidR="00691E16" w:rsidRDefault="00691E16" w:rsidP="00691E16">
            <w:pPr>
              <w:jc w:val="center"/>
              <w:rPr>
                <w:color w:val="000000" w:themeColor="text1"/>
              </w:rPr>
            </w:pPr>
            <w:r w:rsidRPr="00691E16">
              <w:rPr>
                <w:color w:val="000000" w:themeColor="text1"/>
              </w:rPr>
              <w:t>0.2550</w:t>
            </w:r>
          </w:p>
          <w:p w:rsidR="00691E16" w:rsidRDefault="00691E16" w:rsidP="00691E16">
            <w:pPr>
              <w:jc w:val="center"/>
              <w:rPr>
                <w:color w:val="000000" w:themeColor="text1"/>
              </w:rPr>
            </w:pPr>
            <w:r w:rsidRPr="00691E16">
              <w:rPr>
                <w:color w:val="000000" w:themeColor="text1"/>
              </w:rPr>
              <w:t>0.2108</w:t>
            </w:r>
          </w:p>
          <w:p w:rsidR="00183BA5" w:rsidRDefault="00691E16" w:rsidP="00691E16">
            <w:pPr>
              <w:jc w:val="center"/>
              <w:rPr>
                <w:color w:val="000000" w:themeColor="text1"/>
              </w:rPr>
            </w:pPr>
            <w:r w:rsidRPr="00691E16">
              <w:rPr>
                <w:color w:val="000000" w:themeColor="text1"/>
              </w:rPr>
              <w:t>0.2171</w:t>
            </w:r>
          </w:p>
        </w:tc>
        <w:tc>
          <w:tcPr>
            <w:tcW w:w="847" w:type="dxa"/>
            <w:vAlign w:val="center"/>
          </w:tcPr>
          <w:p w:rsidR="00691E16" w:rsidRPr="00691E16" w:rsidRDefault="00691E16" w:rsidP="00691E16">
            <w:pPr>
              <w:jc w:val="center"/>
              <w:rPr>
                <w:color w:val="000000" w:themeColor="text1"/>
              </w:rPr>
            </w:pPr>
            <w:r w:rsidRPr="00691E16">
              <w:rPr>
                <w:color w:val="000000" w:themeColor="text1"/>
              </w:rPr>
              <w:t>26.93</w:t>
            </w:r>
          </w:p>
          <w:p w:rsidR="00183BA5" w:rsidRDefault="00183BA5" w:rsidP="00691E16">
            <w:pPr>
              <w:jc w:val="center"/>
              <w:rPr>
                <w:color w:val="000000" w:themeColor="text1"/>
              </w:rPr>
            </w:pPr>
          </w:p>
        </w:tc>
      </w:tr>
      <w:tr w:rsidR="00183BA5" w:rsidTr="0015721A">
        <w:trPr>
          <w:jc w:val="center"/>
        </w:trPr>
        <w:tc>
          <w:tcPr>
            <w:tcW w:w="1521" w:type="dxa"/>
          </w:tcPr>
          <w:p w:rsidR="00183BA5" w:rsidRDefault="00691E16" w:rsidP="00691E16">
            <w:pPr>
              <w:jc w:val="center"/>
              <w:rPr>
                <w:color w:val="000000" w:themeColor="text1"/>
              </w:rPr>
            </w:pPr>
            <w:r>
              <w:rPr>
                <w:color w:val="000000" w:themeColor="text1"/>
              </w:rPr>
              <w:t>ARIMA(1,1,4)</w:t>
            </w:r>
          </w:p>
        </w:tc>
        <w:tc>
          <w:tcPr>
            <w:tcW w:w="1577" w:type="dxa"/>
          </w:tcPr>
          <w:p w:rsidR="00691E16" w:rsidRPr="00691E16" w:rsidRDefault="00691E16" w:rsidP="00925BAF">
            <w:pPr>
              <w:jc w:val="center"/>
              <w:rPr>
                <w:color w:val="000000" w:themeColor="text1"/>
                <w:vertAlign w:val="subscript"/>
              </w:rPr>
            </w:pPr>
            <w:r w:rsidRPr="00691E16">
              <w:rPr>
                <w:color w:val="000000" w:themeColor="text1"/>
              </w:rPr>
              <w:t>ɸ</w:t>
            </w:r>
            <w:r w:rsidRPr="00691E16">
              <w:rPr>
                <w:color w:val="000000" w:themeColor="text1"/>
                <w:vertAlign w:val="subscript"/>
              </w:rPr>
              <w:t>1</w:t>
            </w:r>
          </w:p>
          <w:p w:rsidR="00691E16" w:rsidRDefault="00925BAF" w:rsidP="00925BAF">
            <w:pPr>
              <w:jc w:val="center"/>
              <w:rPr>
                <w:color w:val="000000" w:themeColor="text1"/>
                <w:vertAlign w:val="subscript"/>
              </w:rPr>
            </w:pPr>
            <w:r w:rsidRPr="00925BAF">
              <w:rPr>
                <w:color w:val="000000" w:themeColor="text1"/>
              </w:rPr>
              <w:t>θ</w:t>
            </w:r>
            <w:r w:rsidRPr="00925BAF">
              <w:rPr>
                <w:color w:val="000000" w:themeColor="text1"/>
                <w:vertAlign w:val="subscript"/>
              </w:rPr>
              <w:t>1</w:t>
            </w:r>
          </w:p>
          <w:p w:rsidR="00925BAF" w:rsidRDefault="00925BAF" w:rsidP="00925BAF">
            <w:pPr>
              <w:jc w:val="center"/>
              <w:rPr>
                <w:rFonts w:ascii="Calibri" w:hAnsi="Calibri" w:cs="Calibri"/>
                <w:color w:val="000000" w:themeColor="text1"/>
                <w:vertAlign w:val="subscript"/>
              </w:rPr>
            </w:pPr>
            <w:r>
              <w:rPr>
                <w:rFonts w:ascii="Calibri" w:hAnsi="Calibri" w:cs="Calibri"/>
                <w:color w:val="000000" w:themeColor="text1"/>
              </w:rPr>
              <w:t>θ</w:t>
            </w:r>
            <w:r>
              <w:rPr>
                <w:rFonts w:ascii="Calibri" w:hAnsi="Calibri" w:cs="Calibri"/>
                <w:color w:val="000000" w:themeColor="text1"/>
                <w:vertAlign w:val="subscript"/>
              </w:rPr>
              <w:t>2</w:t>
            </w:r>
          </w:p>
          <w:p w:rsidR="00925BAF" w:rsidRDefault="00925BAF" w:rsidP="00925BAF">
            <w:pPr>
              <w:jc w:val="center"/>
              <w:rPr>
                <w:rFonts w:ascii="Calibri" w:hAnsi="Calibri" w:cs="Calibri"/>
                <w:color w:val="000000" w:themeColor="text1"/>
                <w:vertAlign w:val="subscript"/>
              </w:rPr>
            </w:pPr>
            <w:r>
              <w:rPr>
                <w:rFonts w:ascii="Calibri" w:hAnsi="Calibri" w:cs="Calibri"/>
                <w:color w:val="000000" w:themeColor="text1"/>
              </w:rPr>
              <w:t>θ</w:t>
            </w:r>
            <w:r>
              <w:rPr>
                <w:rFonts w:ascii="Calibri" w:hAnsi="Calibri" w:cs="Calibri"/>
                <w:color w:val="000000" w:themeColor="text1"/>
                <w:vertAlign w:val="subscript"/>
              </w:rPr>
              <w:t>3</w:t>
            </w:r>
          </w:p>
          <w:p w:rsidR="00183BA5" w:rsidRDefault="00925BAF" w:rsidP="00925BAF">
            <w:pPr>
              <w:jc w:val="center"/>
              <w:rPr>
                <w:color w:val="000000" w:themeColor="text1"/>
              </w:rPr>
            </w:pPr>
            <w:r>
              <w:rPr>
                <w:rFonts w:ascii="Calibri" w:hAnsi="Calibri" w:cs="Calibri"/>
                <w:color w:val="000000" w:themeColor="text1"/>
              </w:rPr>
              <w:t>θ</w:t>
            </w:r>
            <w:r>
              <w:rPr>
                <w:rFonts w:ascii="Calibri" w:hAnsi="Calibri" w:cs="Calibri"/>
                <w:color w:val="000000" w:themeColor="text1"/>
                <w:vertAlign w:val="subscript"/>
              </w:rPr>
              <w:t>4</w:t>
            </w:r>
          </w:p>
        </w:tc>
        <w:tc>
          <w:tcPr>
            <w:tcW w:w="1125" w:type="dxa"/>
          </w:tcPr>
          <w:p w:rsidR="00925BAF" w:rsidRDefault="00925BAF" w:rsidP="00925BAF">
            <w:pPr>
              <w:jc w:val="center"/>
              <w:rPr>
                <w:color w:val="000000" w:themeColor="text1"/>
              </w:rPr>
            </w:pPr>
            <w:r>
              <w:rPr>
                <w:color w:val="000000" w:themeColor="text1"/>
              </w:rPr>
              <w:t>-0.4803</w:t>
            </w:r>
          </w:p>
          <w:p w:rsidR="00925BAF" w:rsidRDefault="00925BAF" w:rsidP="00925BAF">
            <w:pPr>
              <w:jc w:val="center"/>
              <w:rPr>
                <w:color w:val="000000" w:themeColor="text1"/>
              </w:rPr>
            </w:pPr>
            <w:r>
              <w:rPr>
                <w:color w:val="000000" w:themeColor="text1"/>
              </w:rPr>
              <w:t>-0.1943</w:t>
            </w:r>
          </w:p>
          <w:p w:rsidR="00925BAF" w:rsidRDefault="00925BAF" w:rsidP="00925BAF">
            <w:pPr>
              <w:jc w:val="center"/>
              <w:rPr>
                <w:color w:val="000000" w:themeColor="text1"/>
              </w:rPr>
            </w:pPr>
            <w:r>
              <w:rPr>
                <w:color w:val="000000" w:themeColor="text1"/>
              </w:rPr>
              <w:t>-0.4121</w:t>
            </w:r>
          </w:p>
          <w:p w:rsidR="00925BAF" w:rsidRDefault="00925BAF" w:rsidP="00925BAF">
            <w:pPr>
              <w:jc w:val="center"/>
              <w:rPr>
                <w:color w:val="000000" w:themeColor="text1"/>
              </w:rPr>
            </w:pPr>
            <w:r>
              <w:rPr>
                <w:color w:val="000000" w:themeColor="text1"/>
              </w:rPr>
              <w:t>-0.2448</w:t>
            </w:r>
          </w:p>
          <w:p w:rsidR="00183BA5" w:rsidRDefault="00925BAF" w:rsidP="00925BAF">
            <w:pPr>
              <w:jc w:val="center"/>
              <w:rPr>
                <w:color w:val="000000" w:themeColor="text1"/>
              </w:rPr>
            </w:pPr>
            <w:r w:rsidRPr="00925BAF">
              <w:rPr>
                <w:color w:val="000000" w:themeColor="text1"/>
              </w:rPr>
              <w:t>0.2503</w:t>
            </w:r>
          </w:p>
        </w:tc>
        <w:tc>
          <w:tcPr>
            <w:tcW w:w="1108" w:type="dxa"/>
          </w:tcPr>
          <w:p w:rsidR="00925BAF" w:rsidRDefault="00925BAF" w:rsidP="00925BAF">
            <w:pPr>
              <w:jc w:val="center"/>
              <w:rPr>
                <w:color w:val="000000" w:themeColor="text1"/>
              </w:rPr>
            </w:pPr>
            <w:r w:rsidRPr="00925BAF">
              <w:rPr>
                <w:color w:val="000000" w:themeColor="text1"/>
              </w:rPr>
              <w:t>0.2574</w:t>
            </w:r>
          </w:p>
          <w:p w:rsidR="00925BAF" w:rsidRDefault="00925BAF" w:rsidP="00925BAF">
            <w:pPr>
              <w:jc w:val="center"/>
              <w:rPr>
                <w:color w:val="000000" w:themeColor="text1"/>
              </w:rPr>
            </w:pPr>
            <w:r>
              <w:rPr>
                <w:color w:val="000000" w:themeColor="text1"/>
              </w:rPr>
              <w:t>0.2720</w:t>
            </w:r>
          </w:p>
          <w:p w:rsidR="00925BAF" w:rsidRDefault="00925BAF" w:rsidP="00925BAF">
            <w:pPr>
              <w:jc w:val="center"/>
              <w:rPr>
                <w:color w:val="000000" w:themeColor="text1"/>
              </w:rPr>
            </w:pPr>
            <w:r>
              <w:rPr>
                <w:color w:val="000000" w:themeColor="text1"/>
              </w:rPr>
              <w:t>0.1707</w:t>
            </w:r>
          </w:p>
          <w:p w:rsidR="00925BAF" w:rsidRDefault="00925BAF" w:rsidP="00925BAF">
            <w:pPr>
              <w:jc w:val="center"/>
              <w:rPr>
                <w:color w:val="000000" w:themeColor="text1"/>
              </w:rPr>
            </w:pPr>
            <w:r>
              <w:rPr>
                <w:color w:val="000000" w:themeColor="text1"/>
              </w:rPr>
              <w:t>0.2406</w:t>
            </w:r>
          </w:p>
          <w:p w:rsidR="00183BA5" w:rsidRDefault="00925BAF" w:rsidP="00925BAF">
            <w:pPr>
              <w:jc w:val="center"/>
              <w:rPr>
                <w:color w:val="000000" w:themeColor="text1"/>
              </w:rPr>
            </w:pPr>
            <w:r w:rsidRPr="00925BAF">
              <w:rPr>
                <w:color w:val="000000" w:themeColor="text1"/>
              </w:rPr>
              <w:t>0.2090</w:t>
            </w:r>
          </w:p>
        </w:tc>
        <w:tc>
          <w:tcPr>
            <w:tcW w:w="847" w:type="dxa"/>
            <w:vAlign w:val="center"/>
          </w:tcPr>
          <w:p w:rsidR="00925BAF" w:rsidRPr="00925BAF" w:rsidRDefault="00925BAF" w:rsidP="00925BAF">
            <w:pPr>
              <w:jc w:val="center"/>
              <w:rPr>
                <w:color w:val="000000" w:themeColor="text1"/>
              </w:rPr>
            </w:pPr>
            <w:r w:rsidRPr="00925BAF">
              <w:rPr>
                <w:color w:val="000000" w:themeColor="text1"/>
              </w:rPr>
              <w:t>26.35</w:t>
            </w:r>
          </w:p>
          <w:p w:rsidR="00183BA5" w:rsidRDefault="00183BA5" w:rsidP="00925BAF">
            <w:pPr>
              <w:jc w:val="center"/>
              <w:rPr>
                <w:color w:val="000000" w:themeColor="text1"/>
              </w:rPr>
            </w:pPr>
          </w:p>
        </w:tc>
      </w:tr>
    </w:tbl>
    <w:p w:rsidR="00077352" w:rsidRDefault="00077352" w:rsidP="00765CDE">
      <w:pPr>
        <w:jc w:val="both"/>
        <w:rPr>
          <w:color w:val="000000" w:themeColor="text1"/>
        </w:rPr>
      </w:pPr>
    </w:p>
    <w:p w:rsidR="00F21818" w:rsidRPr="00183BA5" w:rsidRDefault="00956181" w:rsidP="00765CDE">
      <w:pPr>
        <w:jc w:val="both"/>
        <w:rPr>
          <w:color w:val="000000" w:themeColor="text1"/>
        </w:rPr>
      </w:pPr>
      <w:r>
        <w:rPr>
          <w:color w:val="000000" w:themeColor="text1"/>
        </w:rPr>
        <w:t>It is clear from the table that the SE</w:t>
      </w:r>
      <w:r w:rsidR="008009EF">
        <w:rPr>
          <w:color w:val="000000" w:themeColor="text1"/>
        </w:rPr>
        <w:t>s</w:t>
      </w:r>
      <w:r>
        <w:rPr>
          <w:color w:val="000000" w:themeColor="text1"/>
        </w:rPr>
        <w:t xml:space="preserve"> of the previously selected model, </w:t>
      </w:r>
      <w:proofErr w:type="gramStart"/>
      <w:r>
        <w:rPr>
          <w:color w:val="000000" w:themeColor="text1"/>
        </w:rPr>
        <w:t>ARIMA(</w:t>
      </w:r>
      <w:proofErr w:type="gramEnd"/>
      <w:r>
        <w:rPr>
          <w:color w:val="000000" w:themeColor="text1"/>
        </w:rPr>
        <w:t>3,1,0) are much lesser compared to the other models.</w:t>
      </w:r>
      <w:r w:rsidR="00077352">
        <w:rPr>
          <w:color w:val="000000" w:themeColor="text1"/>
        </w:rPr>
        <w:t xml:space="preserve"> This means that the model is a good fit for the model without any bias. </w:t>
      </w: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E37B9D" w:rsidP="00EA7096">
      <w:pPr>
        <w:jc w:val="both"/>
        <w:rPr>
          <w:b/>
          <w:i/>
          <w:color w:val="7F7F7F" w:themeColor="text1" w:themeTint="80"/>
        </w:rPr>
      </w:pPr>
    </w:p>
    <w:p w:rsidR="00E37B9D" w:rsidRDefault="00043371" w:rsidP="00EA7096">
      <w:pPr>
        <w:jc w:val="both"/>
        <w:rPr>
          <w:b/>
          <w:i/>
          <w:color w:val="7F7F7F" w:themeColor="text1" w:themeTint="80"/>
        </w:rPr>
      </w:pPr>
      <w:r w:rsidRPr="00AD5767">
        <w:rPr>
          <w:b/>
          <w:i/>
          <w:color w:val="7F7F7F" w:themeColor="text1" w:themeTint="80"/>
        </w:rPr>
        <w:t>7.8(iii</w:t>
      </w:r>
      <w:proofErr w:type="gramStart"/>
      <w:r w:rsidRPr="00AD5767">
        <w:rPr>
          <w:b/>
          <w:i/>
          <w:color w:val="7F7F7F" w:themeColor="text1" w:themeTint="80"/>
        </w:rPr>
        <w:t>)normality</w:t>
      </w:r>
      <w:proofErr w:type="gramEnd"/>
      <w:r w:rsidRPr="00AD5767">
        <w:rPr>
          <w:b/>
          <w:i/>
          <w:color w:val="7F7F7F" w:themeColor="text1" w:themeTint="80"/>
        </w:rPr>
        <w:t xml:space="preserve"> plot</w:t>
      </w:r>
    </w:p>
    <w:p w:rsidR="00736171" w:rsidRPr="00E37B9D" w:rsidRDefault="00DA7A1E" w:rsidP="00EA7096">
      <w:pPr>
        <w:jc w:val="both"/>
        <w:rPr>
          <w:b/>
          <w:i/>
          <w:color w:val="7F7F7F" w:themeColor="text1" w:themeTint="80"/>
        </w:rPr>
      </w:pPr>
      <w:proofErr w:type="gramStart"/>
      <w:r w:rsidRPr="00DA7A1E">
        <w:t>ANS :</w:t>
      </w:r>
      <w:proofErr w:type="gramEnd"/>
      <w:r w:rsidRPr="00DA7A1E">
        <w:t xml:space="preserve"> A QQ </w:t>
      </w:r>
      <w:r w:rsidR="00F903D1">
        <w:t xml:space="preserve">normality </w:t>
      </w:r>
      <w:r w:rsidRPr="00DA7A1E">
        <w:t xml:space="preserve">plot </w:t>
      </w:r>
      <w:r w:rsidR="007B37EC">
        <w:t>and a density plot were</w:t>
      </w:r>
      <w:r w:rsidRPr="00DA7A1E">
        <w:t xml:space="preserve"> generated</w:t>
      </w:r>
      <w:r w:rsidR="00F903D1">
        <w:t xml:space="preserve"> for the values obtained after subtracting </w:t>
      </w:r>
      <w:r w:rsidR="00F903D1">
        <w:rPr>
          <w:rFonts w:cstheme="minorHAnsi"/>
        </w:rPr>
        <w:t>µ</w:t>
      </w:r>
      <w:r w:rsidR="00F903D1">
        <w:t xml:space="preserve"> from each w</w:t>
      </w:r>
      <w:r w:rsidR="00F903D1">
        <w:rPr>
          <w:vertAlign w:val="subscript"/>
        </w:rPr>
        <w:t>t</w:t>
      </w:r>
      <w:r w:rsidR="00F903D1">
        <w:t>.</w:t>
      </w:r>
      <w:r w:rsidR="007B37EC">
        <w:t xml:space="preserve"> </w:t>
      </w:r>
    </w:p>
    <w:p w:rsidR="00DA7A1E" w:rsidRDefault="00F903D1" w:rsidP="00EA7096">
      <w:pPr>
        <w:jc w:val="both"/>
      </w:pPr>
      <w:r>
        <w:rPr>
          <w:noProof/>
        </w:rPr>
        <w:drawing>
          <wp:inline distT="0" distB="0" distL="0" distR="0" wp14:anchorId="669B125D" wp14:editId="661C6A66">
            <wp:extent cx="5236234" cy="191334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530" cy="1921130"/>
                    </a:xfrm>
                    <a:prstGeom prst="rect">
                      <a:avLst/>
                    </a:prstGeom>
                    <a:noFill/>
                    <a:ln>
                      <a:noFill/>
                    </a:ln>
                  </pic:spPr>
                </pic:pic>
              </a:graphicData>
            </a:graphic>
          </wp:inline>
        </w:drawing>
      </w:r>
    </w:p>
    <w:p w:rsidR="00043371" w:rsidRDefault="00043371" w:rsidP="00EA7096">
      <w:pPr>
        <w:jc w:val="both"/>
        <w:rPr>
          <w:b/>
          <w:i/>
          <w:color w:val="7F7F7F" w:themeColor="text1" w:themeTint="80"/>
        </w:rPr>
      </w:pPr>
      <w:r w:rsidRPr="00AD5767">
        <w:rPr>
          <w:b/>
          <w:i/>
          <w:color w:val="7F7F7F" w:themeColor="text1" w:themeTint="80"/>
        </w:rPr>
        <w:t>7.12 select a yearly hydrological time series to model. Using a time series package, follow the three stages of model construction to ascertain the best ARMA or ARIMA model to fit to the data. Clearly explain all your steps and show how identification and diagnostic check graphs.</w:t>
      </w:r>
    </w:p>
    <w:p w:rsidR="006141F8" w:rsidRDefault="006141F8" w:rsidP="006141F8">
      <w:pPr>
        <w:jc w:val="both"/>
        <w:rPr>
          <w:noProof/>
          <w:u w:val="single"/>
        </w:rPr>
      </w:pPr>
      <w:r w:rsidRPr="006141F8">
        <w:rPr>
          <w:noProof/>
          <w:u w:val="single"/>
        </w:rPr>
        <w:t>DIAGNOSTIC CHECKING</w:t>
      </w:r>
    </w:p>
    <w:p w:rsidR="00DF7834" w:rsidRPr="00DF7834" w:rsidRDefault="00DF7834" w:rsidP="006141F8">
      <w:pPr>
        <w:jc w:val="both"/>
        <w:rPr>
          <w:noProof/>
        </w:rPr>
      </w:pPr>
      <w:r>
        <w:rPr>
          <w:noProof/>
        </w:rPr>
        <w:t>After plotting the residuals in QQ plot, we can observe that they seem to vaguely follow a trend line. A Shapiro-Wilk test was carried out for confirming the presence of normality</w:t>
      </w:r>
      <w:r w:rsidR="00C0303A">
        <w:rPr>
          <w:noProof/>
        </w:rPr>
        <w:t xml:space="preserve"> and the test confirmed(</w:t>
      </w:r>
      <w:r w:rsidR="00C0303A" w:rsidRPr="00C0303A">
        <w:rPr>
          <w:noProof/>
        </w:rPr>
        <w:t>p-value = 0.09593</w:t>
      </w:r>
      <w:r w:rsidR="00C0303A">
        <w:rPr>
          <w:noProof/>
        </w:rPr>
        <w:t>) our assumptions. To check if the residuals were independent, one of the portmanteau tes</w:t>
      </w:r>
      <w:r w:rsidR="00741722">
        <w:rPr>
          <w:noProof/>
        </w:rPr>
        <w:t>ts were carried out. The Ljung-</w:t>
      </w:r>
      <w:r w:rsidR="00C0303A">
        <w:rPr>
          <w:noProof/>
        </w:rPr>
        <w:t>Box test confirmed that the re</w:t>
      </w:r>
      <w:r w:rsidR="000274F8">
        <w:rPr>
          <w:noProof/>
        </w:rPr>
        <w:t xml:space="preserve">siduals can be assumed to be independent, with a p-value of 0.7706. </w:t>
      </w:r>
    </w:p>
    <w:p w:rsidR="00DF7834" w:rsidRDefault="00DF7834" w:rsidP="00411261">
      <w:pPr>
        <w:jc w:val="center"/>
        <w:rPr>
          <w:noProof/>
        </w:rPr>
      </w:pPr>
      <w:r>
        <w:rPr>
          <w:noProof/>
        </w:rPr>
        <w:drawing>
          <wp:inline distT="0" distB="0" distL="0" distR="0">
            <wp:extent cx="2618847" cy="18719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047" cy="1877078"/>
                    </a:xfrm>
                    <a:prstGeom prst="rect">
                      <a:avLst/>
                    </a:prstGeom>
                    <a:noFill/>
                    <a:ln>
                      <a:noFill/>
                    </a:ln>
                  </pic:spPr>
                </pic:pic>
              </a:graphicData>
            </a:graphic>
          </wp:inline>
        </w:drawing>
      </w:r>
    </w:p>
    <w:p w:rsidR="00413CB3" w:rsidRDefault="00413CB3" w:rsidP="00413CB3">
      <w:pPr>
        <w:jc w:val="both"/>
        <w:rPr>
          <w:noProof/>
        </w:rPr>
      </w:pPr>
      <w:r>
        <w:rPr>
          <w:noProof/>
        </w:rPr>
        <w:t xml:space="preserve">The Residual ACF and the Ljung-Box statistic are given below. </w:t>
      </w:r>
    </w:p>
    <w:p w:rsidR="006141F8" w:rsidRPr="006141F8" w:rsidRDefault="006141F8" w:rsidP="001A22C2">
      <w:pPr>
        <w:jc w:val="center"/>
        <w:rPr>
          <w:noProof/>
          <w:u w:val="single"/>
        </w:rPr>
      </w:pPr>
      <w:r w:rsidRPr="006141F8">
        <w:rPr>
          <w:noProof/>
        </w:rPr>
        <w:lastRenderedPageBreak/>
        <w:drawing>
          <wp:inline distT="0" distB="0" distL="0" distR="0" wp14:anchorId="63EF9503" wp14:editId="793488FA">
            <wp:extent cx="5193102" cy="322332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048" cy="3225152"/>
                    </a:xfrm>
                    <a:prstGeom prst="rect">
                      <a:avLst/>
                    </a:prstGeom>
                    <a:noFill/>
                    <a:ln>
                      <a:noFill/>
                    </a:ln>
                  </pic:spPr>
                </pic:pic>
              </a:graphicData>
            </a:graphic>
          </wp:inline>
        </w:drawing>
      </w:r>
    </w:p>
    <w:p w:rsidR="00B94E6B" w:rsidRDefault="00413CB3" w:rsidP="00B94E6B">
      <w:pPr>
        <w:jc w:val="both"/>
      </w:pPr>
      <w:r w:rsidRPr="00B94E6B">
        <w:t xml:space="preserve">After </w:t>
      </w:r>
      <w:r w:rsidR="00B94E6B">
        <w:t>trying to forecast the residuals, the plotted forecasts show that forecasting was not done for unknown data. This further proves that the residuals are pure white noise.</w:t>
      </w:r>
    </w:p>
    <w:p w:rsidR="006141F8" w:rsidRPr="00B94E6B" w:rsidRDefault="00B94E6B" w:rsidP="00B94E6B">
      <w:pPr>
        <w:jc w:val="center"/>
      </w:pPr>
      <w:r>
        <w:rPr>
          <w:noProof/>
        </w:rPr>
        <w:drawing>
          <wp:inline distT="0" distB="0" distL="0" distR="0">
            <wp:extent cx="3027872" cy="20592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982" cy="2060674"/>
                    </a:xfrm>
                    <a:prstGeom prst="rect">
                      <a:avLst/>
                    </a:prstGeom>
                    <a:noFill/>
                    <a:ln>
                      <a:noFill/>
                    </a:ln>
                  </pic:spPr>
                </pic:pic>
              </a:graphicData>
            </a:graphic>
          </wp:inline>
        </w:drawing>
      </w:r>
    </w:p>
    <w:sectPr w:rsidR="006141F8" w:rsidRPr="00B94E6B" w:rsidSect="00B94E6B">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84EED"/>
    <w:multiLevelType w:val="hybridMultilevel"/>
    <w:tmpl w:val="96DC1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472A2"/>
    <w:multiLevelType w:val="hybridMultilevel"/>
    <w:tmpl w:val="F822D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71"/>
    <w:rsid w:val="000023B9"/>
    <w:rsid w:val="00003879"/>
    <w:rsid w:val="000274F8"/>
    <w:rsid w:val="00043371"/>
    <w:rsid w:val="000444F4"/>
    <w:rsid w:val="00077352"/>
    <w:rsid w:val="00085AF9"/>
    <w:rsid w:val="000A34BF"/>
    <w:rsid w:val="000A35B5"/>
    <w:rsid w:val="000D3DA6"/>
    <w:rsid w:val="000F3CE5"/>
    <w:rsid w:val="00125937"/>
    <w:rsid w:val="001453DA"/>
    <w:rsid w:val="00145BD6"/>
    <w:rsid w:val="00150B73"/>
    <w:rsid w:val="0015721A"/>
    <w:rsid w:val="001617F1"/>
    <w:rsid w:val="00183BA5"/>
    <w:rsid w:val="001A22C2"/>
    <w:rsid w:val="00233EDB"/>
    <w:rsid w:val="00243684"/>
    <w:rsid w:val="002459D0"/>
    <w:rsid w:val="002773D2"/>
    <w:rsid w:val="002A3482"/>
    <w:rsid w:val="002D6A5B"/>
    <w:rsid w:val="002F1F7A"/>
    <w:rsid w:val="003059EA"/>
    <w:rsid w:val="00320287"/>
    <w:rsid w:val="00397D11"/>
    <w:rsid w:val="003B5E2F"/>
    <w:rsid w:val="003C140F"/>
    <w:rsid w:val="003E304F"/>
    <w:rsid w:val="00411261"/>
    <w:rsid w:val="00413CB3"/>
    <w:rsid w:val="00420630"/>
    <w:rsid w:val="00420AC6"/>
    <w:rsid w:val="00432830"/>
    <w:rsid w:val="004666F1"/>
    <w:rsid w:val="00477162"/>
    <w:rsid w:val="0049361E"/>
    <w:rsid w:val="0049703D"/>
    <w:rsid w:val="004E12EB"/>
    <w:rsid w:val="0055064D"/>
    <w:rsid w:val="0056032C"/>
    <w:rsid w:val="00574C7B"/>
    <w:rsid w:val="00585C29"/>
    <w:rsid w:val="00585D1B"/>
    <w:rsid w:val="005C2FEA"/>
    <w:rsid w:val="006141F8"/>
    <w:rsid w:val="00663392"/>
    <w:rsid w:val="00691E16"/>
    <w:rsid w:val="006C2B02"/>
    <w:rsid w:val="00736171"/>
    <w:rsid w:val="00741722"/>
    <w:rsid w:val="00761138"/>
    <w:rsid w:val="00765CDE"/>
    <w:rsid w:val="00772F0B"/>
    <w:rsid w:val="007B37EC"/>
    <w:rsid w:val="007E2239"/>
    <w:rsid w:val="008009EF"/>
    <w:rsid w:val="00800D0F"/>
    <w:rsid w:val="00822794"/>
    <w:rsid w:val="00826D7A"/>
    <w:rsid w:val="00862BB6"/>
    <w:rsid w:val="00870357"/>
    <w:rsid w:val="0087445B"/>
    <w:rsid w:val="008B2A3C"/>
    <w:rsid w:val="008C2519"/>
    <w:rsid w:val="008C6B1F"/>
    <w:rsid w:val="008D5CF8"/>
    <w:rsid w:val="00920AB4"/>
    <w:rsid w:val="00925BAF"/>
    <w:rsid w:val="00956181"/>
    <w:rsid w:val="00956B9C"/>
    <w:rsid w:val="009579D3"/>
    <w:rsid w:val="009B03C5"/>
    <w:rsid w:val="009B4EA1"/>
    <w:rsid w:val="009B5CFB"/>
    <w:rsid w:val="009C7DB5"/>
    <w:rsid w:val="009F6477"/>
    <w:rsid w:val="00A42AF5"/>
    <w:rsid w:val="00A67D59"/>
    <w:rsid w:val="00A71C28"/>
    <w:rsid w:val="00AD5767"/>
    <w:rsid w:val="00AE219E"/>
    <w:rsid w:val="00AE4BD0"/>
    <w:rsid w:val="00B01355"/>
    <w:rsid w:val="00B145FF"/>
    <w:rsid w:val="00B24D05"/>
    <w:rsid w:val="00B47D34"/>
    <w:rsid w:val="00B94E6B"/>
    <w:rsid w:val="00BB49B6"/>
    <w:rsid w:val="00BD423F"/>
    <w:rsid w:val="00C01A95"/>
    <w:rsid w:val="00C0303A"/>
    <w:rsid w:val="00C0537F"/>
    <w:rsid w:val="00C8114E"/>
    <w:rsid w:val="00CD4A7C"/>
    <w:rsid w:val="00D107C0"/>
    <w:rsid w:val="00D6339F"/>
    <w:rsid w:val="00DA7A1E"/>
    <w:rsid w:val="00DB1AC5"/>
    <w:rsid w:val="00DF7834"/>
    <w:rsid w:val="00E37B9D"/>
    <w:rsid w:val="00E75D1F"/>
    <w:rsid w:val="00E807C2"/>
    <w:rsid w:val="00EA7096"/>
    <w:rsid w:val="00EA72C2"/>
    <w:rsid w:val="00EB689B"/>
    <w:rsid w:val="00EC3810"/>
    <w:rsid w:val="00F21818"/>
    <w:rsid w:val="00F42CDF"/>
    <w:rsid w:val="00F903D1"/>
    <w:rsid w:val="00F97F7B"/>
    <w:rsid w:val="00FA1BC1"/>
    <w:rsid w:val="00FB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FF"/>
    <w:rPr>
      <w:rFonts w:ascii="Tahoma" w:hAnsi="Tahoma" w:cs="Tahoma"/>
      <w:sz w:val="16"/>
      <w:szCs w:val="16"/>
    </w:rPr>
  </w:style>
  <w:style w:type="paragraph" w:styleId="ListParagraph">
    <w:name w:val="List Paragraph"/>
    <w:basedOn w:val="Normal"/>
    <w:uiPriority w:val="34"/>
    <w:qFormat/>
    <w:rsid w:val="00AD5767"/>
    <w:pPr>
      <w:ind w:left="720"/>
      <w:contextualSpacing/>
    </w:pPr>
  </w:style>
  <w:style w:type="paragraph" w:styleId="NoSpacing">
    <w:name w:val="No Spacing"/>
    <w:uiPriority w:val="1"/>
    <w:qFormat/>
    <w:rsid w:val="00B01355"/>
    <w:pPr>
      <w:spacing w:after="0" w:line="240" w:lineRule="auto"/>
    </w:pPr>
  </w:style>
  <w:style w:type="character" w:customStyle="1" w:styleId="Heading1Char">
    <w:name w:val="Heading 1 Char"/>
    <w:basedOn w:val="DefaultParagraphFont"/>
    <w:link w:val="Heading1"/>
    <w:uiPriority w:val="9"/>
    <w:rsid w:val="00B0135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D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3DA6"/>
    <w:rPr>
      <w:rFonts w:ascii="Courier New" w:eastAsia="Times New Roman" w:hAnsi="Courier New" w:cs="Courier New"/>
      <w:sz w:val="20"/>
      <w:szCs w:val="20"/>
    </w:rPr>
  </w:style>
  <w:style w:type="character" w:customStyle="1" w:styleId="gnkrckgcgsb">
    <w:name w:val="gnkrckgcgsb"/>
    <w:basedOn w:val="DefaultParagraphFont"/>
    <w:rsid w:val="000D3DA6"/>
  </w:style>
  <w:style w:type="table" w:styleId="TableGrid">
    <w:name w:val="Table Grid"/>
    <w:basedOn w:val="TableNormal"/>
    <w:uiPriority w:val="59"/>
    <w:rsid w:val="000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D3D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gnkrckgcmrb">
    <w:name w:val="gnkrckgcmrb"/>
    <w:basedOn w:val="DefaultParagraphFont"/>
    <w:rsid w:val="001259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FF"/>
    <w:rPr>
      <w:rFonts w:ascii="Tahoma" w:hAnsi="Tahoma" w:cs="Tahoma"/>
      <w:sz w:val="16"/>
      <w:szCs w:val="16"/>
    </w:rPr>
  </w:style>
  <w:style w:type="paragraph" w:styleId="ListParagraph">
    <w:name w:val="List Paragraph"/>
    <w:basedOn w:val="Normal"/>
    <w:uiPriority w:val="34"/>
    <w:qFormat/>
    <w:rsid w:val="00AD5767"/>
    <w:pPr>
      <w:ind w:left="720"/>
      <w:contextualSpacing/>
    </w:pPr>
  </w:style>
  <w:style w:type="paragraph" w:styleId="NoSpacing">
    <w:name w:val="No Spacing"/>
    <w:uiPriority w:val="1"/>
    <w:qFormat/>
    <w:rsid w:val="00B01355"/>
    <w:pPr>
      <w:spacing w:after="0" w:line="240" w:lineRule="auto"/>
    </w:pPr>
  </w:style>
  <w:style w:type="character" w:customStyle="1" w:styleId="Heading1Char">
    <w:name w:val="Heading 1 Char"/>
    <w:basedOn w:val="DefaultParagraphFont"/>
    <w:link w:val="Heading1"/>
    <w:uiPriority w:val="9"/>
    <w:rsid w:val="00B0135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D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3DA6"/>
    <w:rPr>
      <w:rFonts w:ascii="Courier New" w:eastAsia="Times New Roman" w:hAnsi="Courier New" w:cs="Courier New"/>
      <w:sz w:val="20"/>
      <w:szCs w:val="20"/>
    </w:rPr>
  </w:style>
  <w:style w:type="character" w:customStyle="1" w:styleId="gnkrckgcgsb">
    <w:name w:val="gnkrckgcgsb"/>
    <w:basedOn w:val="DefaultParagraphFont"/>
    <w:rsid w:val="000D3DA6"/>
  </w:style>
  <w:style w:type="table" w:styleId="TableGrid">
    <w:name w:val="Table Grid"/>
    <w:basedOn w:val="TableNormal"/>
    <w:uiPriority w:val="59"/>
    <w:rsid w:val="000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D3D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gnkrckgcmrb">
    <w:name w:val="gnkrckgcmrb"/>
    <w:basedOn w:val="DefaultParagraphFont"/>
    <w:rsid w:val="0012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3923">
      <w:bodyDiv w:val="1"/>
      <w:marLeft w:val="0"/>
      <w:marRight w:val="0"/>
      <w:marTop w:val="0"/>
      <w:marBottom w:val="0"/>
      <w:divBdr>
        <w:top w:val="none" w:sz="0" w:space="0" w:color="auto"/>
        <w:left w:val="none" w:sz="0" w:space="0" w:color="auto"/>
        <w:bottom w:val="none" w:sz="0" w:space="0" w:color="auto"/>
        <w:right w:val="none" w:sz="0" w:space="0" w:color="auto"/>
      </w:divBdr>
    </w:div>
    <w:div w:id="275137612">
      <w:bodyDiv w:val="1"/>
      <w:marLeft w:val="0"/>
      <w:marRight w:val="0"/>
      <w:marTop w:val="0"/>
      <w:marBottom w:val="0"/>
      <w:divBdr>
        <w:top w:val="none" w:sz="0" w:space="0" w:color="auto"/>
        <w:left w:val="none" w:sz="0" w:space="0" w:color="auto"/>
        <w:bottom w:val="none" w:sz="0" w:space="0" w:color="auto"/>
        <w:right w:val="none" w:sz="0" w:space="0" w:color="auto"/>
      </w:divBdr>
    </w:div>
    <w:div w:id="335499998">
      <w:bodyDiv w:val="1"/>
      <w:marLeft w:val="0"/>
      <w:marRight w:val="0"/>
      <w:marTop w:val="0"/>
      <w:marBottom w:val="0"/>
      <w:divBdr>
        <w:top w:val="none" w:sz="0" w:space="0" w:color="auto"/>
        <w:left w:val="none" w:sz="0" w:space="0" w:color="auto"/>
        <w:bottom w:val="none" w:sz="0" w:space="0" w:color="auto"/>
        <w:right w:val="none" w:sz="0" w:space="0" w:color="auto"/>
      </w:divBdr>
    </w:div>
    <w:div w:id="366416968">
      <w:bodyDiv w:val="1"/>
      <w:marLeft w:val="0"/>
      <w:marRight w:val="0"/>
      <w:marTop w:val="0"/>
      <w:marBottom w:val="0"/>
      <w:divBdr>
        <w:top w:val="none" w:sz="0" w:space="0" w:color="auto"/>
        <w:left w:val="none" w:sz="0" w:space="0" w:color="auto"/>
        <w:bottom w:val="none" w:sz="0" w:space="0" w:color="auto"/>
        <w:right w:val="none" w:sz="0" w:space="0" w:color="auto"/>
      </w:divBdr>
    </w:div>
    <w:div w:id="367150504">
      <w:bodyDiv w:val="1"/>
      <w:marLeft w:val="0"/>
      <w:marRight w:val="0"/>
      <w:marTop w:val="0"/>
      <w:marBottom w:val="0"/>
      <w:divBdr>
        <w:top w:val="none" w:sz="0" w:space="0" w:color="auto"/>
        <w:left w:val="none" w:sz="0" w:space="0" w:color="auto"/>
        <w:bottom w:val="none" w:sz="0" w:space="0" w:color="auto"/>
        <w:right w:val="none" w:sz="0" w:space="0" w:color="auto"/>
      </w:divBdr>
    </w:div>
    <w:div w:id="377710295">
      <w:bodyDiv w:val="1"/>
      <w:marLeft w:val="0"/>
      <w:marRight w:val="0"/>
      <w:marTop w:val="0"/>
      <w:marBottom w:val="0"/>
      <w:divBdr>
        <w:top w:val="none" w:sz="0" w:space="0" w:color="auto"/>
        <w:left w:val="none" w:sz="0" w:space="0" w:color="auto"/>
        <w:bottom w:val="none" w:sz="0" w:space="0" w:color="auto"/>
        <w:right w:val="none" w:sz="0" w:space="0" w:color="auto"/>
      </w:divBdr>
    </w:div>
    <w:div w:id="422066703">
      <w:bodyDiv w:val="1"/>
      <w:marLeft w:val="0"/>
      <w:marRight w:val="0"/>
      <w:marTop w:val="0"/>
      <w:marBottom w:val="0"/>
      <w:divBdr>
        <w:top w:val="none" w:sz="0" w:space="0" w:color="auto"/>
        <w:left w:val="none" w:sz="0" w:space="0" w:color="auto"/>
        <w:bottom w:val="none" w:sz="0" w:space="0" w:color="auto"/>
        <w:right w:val="none" w:sz="0" w:space="0" w:color="auto"/>
      </w:divBdr>
    </w:div>
    <w:div w:id="525021861">
      <w:bodyDiv w:val="1"/>
      <w:marLeft w:val="0"/>
      <w:marRight w:val="0"/>
      <w:marTop w:val="0"/>
      <w:marBottom w:val="0"/>
      <w:divBdr>
        <w:top w:val="none" w:sz="0" w:space="0" w:color="auto"/>
        <w:left w:val="none" w:sz="0" w:space="0" w:color="auto"/>
        <w:bottom w:val="none" w:sz="0" w:space="0" w:color="auto"/>
        <w:right w:val="none" w:sz="0" w:space="0" w:color="auto"/>
      </w:divBdr>
    </w:div>
    <w:div w:id="587426378">
      <w:bodyDiv w:val="1"/>
      <w:marLeft w:val="0"/>
      <w:marRight w:val="0"/>
      <w:marTop w:val="0"/>
      <w:marBottom w:val="0"/>
      <w:divBdr>
        <w:top w:val="none" w:sz="0" w:space="0" w:color="auto"/>
        <w:left w:val="none" w:sz="0" w:space="0" w:color="auto"/>
        <w:bottom w:val="none" w:sz="0" w:space="0" w:color="auto"/>
        <w:right w:val="none" w:sz="0" w:space="0" w:color="auto"/>
      </w:divBdr>
    </w:div>
    <w:div w:id="683827600">
      <w:bodyDiv w:val="1"/>
      <w:marLeft w:val="0"/>
      <w:marRight w:val="0"/>
      <w:marTop w:val="0"/>
      <w:marBottom w:val="0"/>
      <w:divBdr>
        <w:top w:val="none" w:sz="0" w:space="0" w:color="auto"/>
        <w:left w:val="none" w:sz="0" w:space="0" w:color="auto"/>
        <w:bottom w:val="none" w:sz="0" w:space="0" w:color="auto"/>
        <w:right w:val="none" w:sz="0" w:space="0" w:color="auto"/>
      </w:divBdr>
    </w:div>
    <w:div w:id="816727959">
      <w:bodyDiv w:val="1"/>
      <w:marLeft w:val="0"/>
      <w:marRight w:val="0"/>
      <w:marTop w:val="0"/>
      <w:marBottom w:val="0"/>
      <w:divBdr>
        <w:top w:val="none" w:sz="0" w:space="0" w:color="auto"/>
        <w:left w:val="none" w:sz="0" w:space="0" w:color="auto"/>
        <w:bottom w:val="none" w:sz="0" w:space="0" w:color="auto"/>
        <w:right w:val="none" w:sz="0" w:space="0" w:color="auto"/>
      </w:divBdr>
    </w:div>
    <w:div w:id="969939315">
      <w:bodyDiv w:val="1"/>
      <w:marLeft w:val="0"/>
      <w:marRight w:val="0"/>
      <w:marTop w:val="0"/>
      <w:marBottom w:val="0"/>
      <w:divBdr>
        <w:top w:val="none" w:sz="0" w:space="0" w:color="auto"/>
        <w:left w:val="none" w:sz="0" w:space="0" w:color="auto"/>
        <w:bottom w:val="none" w:sz="0" w:space="0" w:color="auto"/>
        <w:right w:val="none" w:sz="0" w:space="0" w:color="auto"/>
      </w:divBdr>
    </w:div>
    <w:div w:id="1056705863">
      <w:bodyDiv w:val="1"/>
      <w:marLeft w:val="0"/>
      <w:marRight w:val="0"/>
      <w:marTop w:val="0"/>
      <w:marBottom w:val="0"/>
      <w:divBdr>
        <w:top w:val="none" w:sz="0" w:space="0" w:color="auto"/>
        <w:left w:val="none" w:sz="0" w:space="0" w:color="auto"/>
        <w:bottom w:val="none" w:sz="0" w:space="0" w:color="auto"/>
        <w:right w:val="none" w:sz="0" w:space="0" w:color="auto"/>
      </w:divBdr>
    </w:div>
    <w:div w:id="1178304056">
      <w:bodyDiv w:val="1"/>
      <w:marLeft w:val="0"/>
      <w:marRight w:val="0"/>
      <w:marTop w:val="0"/>
      <w:marBottom w:val="0"/>
      <w:divBdr>
        <w:top w:val="none" w:sz="0" w:space="0" w:color="auto"/>
        <w:left w:val="none" w:sz="0" w:space="0" w:color="auto"/>
        <w:bottom w:val="none" w:sz="0" w:space="0" w:color="auto"/>
        <w:right w:val="none" w:sz="0" w:space="0" w:color="auto"/>
      </w:divBdr>
    </w:div>
    <w:div w:id="1224024941">
      <w:bodyDiv w:val="1"/>
      <w:marLeft w:val="0"/>
      <w:marRight w:val="0"/>
      <w:marTop w:val="0"/>
      <w:marBottom w:val="0"/>
      <w:divBdr>
        <w:top w:val="none" w:sz="0" w:space="0" w:color="auto"/>
        <w:left w:val="none" w:sz="0" w:space="0" w:color="auto"/>
        <w:bottom w:val="none" w:sz="0" w:space="0" w:color="auto"/>
        <w:right w:val="none" w:sz="0" w:space="0" w:color="auto"/>
      </w:divBdr>
    </w:div>
    <w:div w:id="1285621623">
      <w:bodyDiv w:val="1"/>
      <w:marLeft w:val="0"/>
      <w:marRight w:val="0"/>
      <w:marTop w:val="0"/>
      <w:marBottom w:val="0"/>
      <w:divBdr>
        <w:top w:val="none" w:sz="0" w:space="0" w:color="auto"/>
        <w:left w:val="none" w:sz="0" w:space="0" w:color="auto"/>
        <w:bottom w:val="none" w:sz="0" w:space="0" w:color="auto"/>
        <w:right w:val="none" w:sz="0" w:space="0" w:color="auto"/>
      </w:divBdr>
    </w:div>
    <w:div w:id="1571034789">
      <w:bodyDiv w:val="1"/>
      <w:marLeft w:val="0"/>
      <w:marRight w:val="0"/>
      <w:marTop w:val="0"/>
      <w:marBottom w:val="0"/>
      <w:divBdr>
        <w:top w:val="none" w:sz="0" w:space="0" w:color="auto"/>
        <w:left w:val="none" w:sz="0" w:space="0" w:color="auto"/>
        <w:bottom w:val="none" w:sz="0" w:space="0" w:color="auto"/>
        <w:right w:val="none" w:sz="0" w:space="0" w:color="auto"/>
      </w:divBdr>
    </w:div>
    <w:div w:id="1613435714">
      <w:bodyDiv w:val="1"/>
      <w:marLeft w:val="0"/>
      <w:marRight w:val="0"/>
      <w:marTop w:val="0"/>
      <w:marBottom w:val="0"/>
      <w:divBdr>
        <w:top w:val="none" w:sz="0" w:space="0" w:color="auto"/>
        <w:left w:val="none" w:sz="0" w:space="0" w:color="auto"/>
        <w:bottom w:val="none" w:sz="0" w:space="0" w:color="auto"/>
        <w:right w:val="none" w:sz="0" w:space="0" w:color="auto"/>
      </w:divBdr>
    </w:div>
    <w:div w:id="1670057206">
      <w:bodyDiv w:val="1"/>
      <w:marLeft w:val="0"/>
      <w:marRight w:val="0"/>
      <w:marTop w:val="0"/>
      <w:marBottom w:val="0"/>
      <w:divBdr>
        <w:top w:val="none" w:sz="0" w:space="0" w:color="auto"/>
        <w:left w:val="none" w:sz="0" w:space="0" w:color="auto"/>
        <w:bottom w:val="none" w:sz="0" w:space="0" w:color="auto"/>
        <w:right w:val="none" w:sz="0" w:space="0" w:color="auto"/>
      </w:divBdr>
    </w:div>
    <w:div w:id="1673334035">
      <w:bodyDiv w:val="1"/>
      <w:marLeft w:val="0"/>
      <w:marRight w:val="0"/>
      <w:marTop w:val="0"/>
      <w:marBottom w:val="0"/>
      <w:divBdr>
        <w:top w:val="none" w:sz="0" w:space="0" w:color="auto"/>
        <w:left w:val="none" w:sz="0" w:space="0" w:color="auto"/>
        <w:bottom w:val="none" w:sz="0" w:space="0" w:color="auto"/>
        <w:right w:val="none" w:sz="0" w:space="0" w:color="auto"/>
      </w:divBdr>
    </w:div>
    <w:div w:id="1689285041">
      <w:bodyDiv w:val="1"/>
      <w:marLeft w:val="0"/>
      <w:marRight w:val="0"/>
      <w:marTop w:val="0"/>
      <w:marBottom w:val="0"/>
      <w:divBdr>
        <w:top w:val="none" w:sz="0" w:space="0" w:color="auto"/>
        <w:left w:val="none" w:sz="0" w:space="0" w:color="auto"/>
        <w:bottom w:val="none" w:sz="0" w:space="0" w:color="auto"/>
        <w:right w:val="none" w:sz="0" w:space="0" w:color="auto"/>
      </w:divBdr>
    </w:div>
    <w:div w:id="1694651417">
      <w:bodyDiv w:val="1"/>
      <w:marLeft w:val="0"/>
      <w:marRight w:val="0"/>
      <w:marTop w:val="0"/>
      <w:marBottom w:val="0"/>
      <w:divBdr>
        <w:top w:val="none" w:sz="0" w:space="0" w:color="auto"/>
        <w:left w:val="none" w:sz="0" w:space="0" w:color="auto"/>
        <w:bottom w:val="none" w:sz="0" w:space="0" w:color="auto"/>
        <w:right w:val="none" w:sz="0" w:space="0" w:color="auto"/>
      </w:divBdr>
    </w:div>
    <w:div w:id="1745370375">
      <w:bodyDiv w:val="1"/>
      <w:marLeft w:val="0"/>
      <w:marRight w:val="0"/>
      <w:marTop w:val="0"/>
      <w:marBottom w:val="0"/>
      <w:divBdr>
        <w:top w:val="none" w:sz="0" w:space="0" w:color="auto"/>
        <w:left w:val="none" w:sz="0" w:space="0" w:color="auto"/>
        <w:bottom w:val="none" w:sz="0" w:space="0" w:color="auto"/>
        <w:right w:val="none" w:sz="0" w:space="0" w:color="auto"/>
      </w:divBdr>
    </w:div>
    <w:div w:id="1771243709">
      <w:bodyDiv w:val="1"/>
      <w:marLeft w:val="0"/>
      <w:marRight w:val="0"/>
      <w:marTop w:val="0"/>
      <w:marBottom w:val="0"/>
      <w:divBdr>
        <w:top w:val="none" w:sz="0" w:space="0" w:color="auto"/>
        <w:left w:val="none" w:sz="0" w:space="0" w:color="auto"/>
        <w:bottom w:val="none" w:sz="0" w:space="0" w:color="auto"/>
        <w:right w:val="none" w:sz="0" w:space="0" w:color="auto"/>
      </w:divBdr>
    </w:div>
    <w:div w:id="1859804927">
      <w:bodyDiv w:val="1"/>
      <w:marLeft w:val="0"/>
      <w:marRight w:val="0"/>
      <w:marTop w:val="0"/>
      <w:marBottom w:val="0"/>
      <w:divBdr>
        <w:top w:val="none" w:sz="0" w:space="0" w:color="auto"/>
        <w:left w:val="none" w:sz="0" w:space="0" w:color="auto"/>
        <w:bottom w:val="none" w:sz="0" w:space="0" w:color="auto"/>
        <w:right w:val="none" w:sz="0" w:space="0" w:color="auto"/>
      </w:divBdr>
    </w:div>
    <w:div w:id="1909419759">
      <w:bodyDiv w:val="1"/>
      <w:marLeft w:val="0"/>
      <w:marRight w:val="0"/>
      <w:marTop w:val="0"/>
      <w:marBottom w:val="0"/>
      <w:divBdr>
        <w:top w:val="none" w:sz="0" w:space="0" w:color="auto"/>
        <w:left w:val="none" w:sz="0" w:space="0" w:color="auto"/>
        <w:bottom w:val="none" w:sz="0" w:space="0" w:color="auto"/>
        <w:right w:val="none" w:sz="0" w:space="0" w:color="auto"/>
      </w:divBdr>
    </w:div>
    <w:div w:id="1964115454">
      <w:bodyDiv w:val="1"/>
      <w:marLeft w:val="0"/>
      <w:marRight w:val="0"/>
      <w:marTop w:val="0"/>
      <w:marBottom w:val="0"/>
      <w:divBdr>
        <w:top w:val="none" w:sz="0" w:space="0" w:color="auto"/>
        <w:left w:val="none" w:sz="0" w:space="0" w:color="auto"/>
        <w:bottom w:val="none" w:sz="0" w:space="0" w:color="auto"/>
        <w:right w:val="none" w:sz="0" w:space="0" w:color="auto"/>
      </w:divBdr>
    </w:div>
    <w:div w:id="2059625455">
      <w:bodyDiv w:val="1"/>
      <w:marLeft w:val="0"/>
      <w:marRight w:val="0"/>
      <w:marTop w:val="0"/>
      <w:marBottom w:val="0"/>
      <w:divBdr>
        <w:top w:val="none" w:sz="0" w:space="0" w:color="auto"/>
        <w:left w:val="none" w:sz="0" w:space="0" w:color="auto"/>
        <w:bottom w:val="none" w:sz="0" w:space="0" w:color="auto"/>
        <w:right w:val="none" w:sz="0" w:space="0" w:color="auto"/>
      </w:divBdr>
    </w:div>
    <w:div w:id="2069644548">
      <w:bodyDiv w:val="1"/>
      <w:marLeft w:val="0"/>
      <w:marRight w:val="0"/>
      <w:marTop w:val="0"/>
      <w:marBottom w:val="0"/>
      <w:divBdr>
        <w:top w:val="none" w:sz="0" w:space="0" w:color="auto"/>
        <w:left w:val="none" w:sz="0" w:space="0" w:color="auto"/>
        <w:bottom w:val="none" w:sz="0" w:space="0" w:color="auto"/>
        <w:right w:val="none" w:sz="0" w:space="0" w:color="auto"/>
      </w:divBdr>
    </w:div>
    <w:div w:id="2080705641">
      <w:bodyDiv w:val="1"/>
      <w:marLeft w:val="0"/>
      <w:marRight w:val="0"/>
      <w:marTop w:val="0"/>
      <w:marBottom w:val="0"/>
      <w:divBdr>
        <w:top w:val="none" w:sz="0" w:space="0" w:color="auto"/>
        <w:left w:val="none" w:sz="0" w:space="0" w:color="auto"/>
        <w:bottom w:val="none" w:sz="0" w:space="0" w:color="auto"/>
        <w:right w:val="none" w:sz="0" w:space="0" w:color="auto"/>
      </w:divBdr>
    </w:div>
    <w:div w:id="2117671836">
      <w:bodyDiv w:val="1"/>
      <w:marLeft w:val="0"/>
      <w:marRight w:val="0"/>
      <w:marTop w:val="0"/>
      <w:marBottom w:val="0"/>
      <w:divBdr>
        <w:top w:val="none" w:sz="0" w:space="0" w:color="auto"/>
        <w:left w:val="none" w:sz="0" w:space="0" w:color="auto"/>
        <w:bottom w:val="none" w:sz="0" w:space="0" w:color="auto"/>
        <w:right w:val="none" w:sz="0" w:space="0" w:color="auto"/>
      </w:divBdr>
    </w:div>
    <w:div w:id="21421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E541B-3CD9-4C0E-A7A4-9E3986D9A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Keshita</dc:creator>
  <cp:lastModifiedBy>Keshita</cp:lastModifiedBy>
  <cp:revision>90</cp:revision>
  <dcterms:created xsi:type="dcterms:W3CDTF">2019-10-26T19:12:00Z</dcterms:created>
  <dcterms:modified xsi:type="dcterms:W3CDTF">2019-10-31T00:33:00Z</dcterms:modified>
</cp:coreProperties>
</file>