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EBAB" w14:textId="77777777" w:rsidR="00A810DB" w:rsidRPr="00A810DB" w:rsidRDefault="00A810DB" w:rsidP="00A810DB">
      <w:pPr>
        <w:rPr>
          <w:b/>
          <w:bCs/>
        </w:rPr>
      </w:pPr>
      <w:r w:rsidRPr="00A810DB">
        <w:rPr>
          <w:b/>
          <w:bCs/>
        </w:rPr>
        <w:t>Qudrat National Company (QNC) Signs Strategic Agreement with DisruptX UAE to Implement Advanced CAFM Solutions for Total Facilities Management</w:t>
      </w:r>
    </w:p>
    <w:p w14:paraId="3E4BD9DC" w14:textId="77777777" w:rsidR="00A810DB" w:rsidRPr="00A810DB" w:rsidRDefault="00A810DB" w:rsidP="00A810DB">
      <w:r w:rsidRPr="00A810DB">
        <w:t xml:space="preserve">Qudrat National Company (QNC) is pleased to announce the signing of a strategic contract with </w:t>
      </w:r>
      <w:r w:rsidRPr="00A810DB">
        <w:rPr>
          <w:b/>
          <w:bCs/>
        </w:rPr>
        <w:t>DisruptX UAE</w:t>
      </w:r>
      <w:r w:rsidRPr="00A810DB">
        <w:t xml:space="preserve">, a leading provider of smart building technologies and digital facility management platforms. Through this partnership, DisruptX will become QNC’s official </w:t>
      </w:r>
      <w:r w:rsidRPr="00A810DB">
        <w:rPr>
          <w:b/>
          <w:bCs/>
        </w:rPr>
        <w:t>CAFM (Computer</w:t>
      </w:r>
      <w:r w:rsidRPr="00A810DB">
        <w:rPr>
          <w:b/>
          <w:bCs/>
        </w:rPr>
        <w:noBreakHyphen/>
        <w:t>Aided Facility Management) system provider</w:t>
      </w:r>
      <w:r w:rsidRPr="00A810DB">
        <w:t>, supporting QNC’s mission to elevate Total Facilities Management (TFM) services across the Kingdom of Saudi Arabia.</w:t>
      </w:r>
    </w:p>
    <w:p w14:paraId="6352434A" w14:textId="5EEC075C" w:rsidR="008A79E1" w:rsidRDefault="00A810DB" w:rsidP="00A810DB">
      <w:r w:rsidRPr="00A810DB">
        <w:t xml:space="preserve">This collaboration marks a significant step in QNC’s digital transformation journey. By integrating </w:t>
      </w:r>
      <w:proofErr w:type="spellStart"/>
      <w:r w:rsidRPr="00A810DB">
        <w:t>DisruptX’s</w:t>
      </w:r>
      <w:proofErr w:type="spellEnd"/>
      <w:r w:rsidRPr="00A810DB">
        <w:t xml:space="preserve"> advanced CAFM platform, QNC will enhance operational efficiency, improve service response times, and deliver higher transparency and performance across all managed facilities.</w:t>
      </w:r>
    </w:p>
    <w:p w14:paraId="7D508C4B" w14:textId="77777777" w:rsidR="0090625C" w:rsidRPr="0090625C" w:rsidRDefault="0090625C" w:rsidP="0090625C">
      <w:r w:rsidRPr="0090625C">
        <w:t>This partnership aligns with QNC’s commitment to adopting innovative technologies that strengthen its TFM capabilities and support the Kingdom’s Vision 2030 goals for smart, sustainable, and digitally enabled infrastructure.</w:t>
      </w:r>
    </w:p>
    <w:p w14:paraId="16232703" w14:textId="77777777" w:rsidR="0090625C" w:rsidRPr="0090625C" w:rsidRDefault="0090625C" w:rsidP="0090625C">
      <w:r w:rsidRPr="0090625C">
        <w:t>QNC looks forward to a successful collaboration with DisruptX as we continue to raise the standard of facility management services in Saudi Arabia.</w:t>
      </w:r>
    </w:p>
    <w:p w14:paraId="7D304234" w14:textId="77777777" w:rsidR="0090625C" w:rsidRDefault="0090625C" w:rsidP="00A810DB"/>
    <w:sectPr w:rsidR="00906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95"/>
    <w:rsid w:val="00006D90"/>
    <w:rsid w:val="004D3BAD"/>
    <w:rsid w:val="008A79E1"/>
    <w:rsid w:val="0090625C"/>
    <w:rsid w:val="00A810DB"/>
    <w:rsid w:val="00EB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4042"/>
  <w15:chartTrackingRefBased/>
  <w15:docId w15:val="{81097FCD-6F71-4742-AF70-1AE200EC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Eldeeb</dc:creator>
  <cp:keywords/>
  <dc:description/>
  <cp:lastModifiedBy>Houssam Eldeeb</cp:lastModifiedBy>
  <cp:revision>3</cp:revision>
  <dcterms:created xsi:type="dcterms:W3CDTF">2026-04-06T13:13:00Z</dcterms:created>
  <dcterms:modified xsi:type="dcterms:W3CDTF">2026-04-06T13:14:00Z</dcterms:modified>
</cp:coreProperties>
</file>