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0"/>
        <w:jc w:val="center"/>
      </w:pPr>
      <w:r>
        <w:rPr>
          <w:rFonts w:ascii="맑은 고딕" w:hAnsi="맑은 고딕"/>
          <w:b/>
          <w:color w:val="00ABF0"/>
          <w:sz w:val="44"/>
        </w:rPr>
        <w:t>On-Premise AI Full Stack Architecture 가이드라인</w:t>
      </w:r>
    </w:p>
    <w:p>
      <w:pPr>
        <w:spacing w:before="40" w:after="40"/>
        <w:ind w:left="850"/>
      </w:pPr>
      <w:r>
        <w:rPr>
          <w:rFonts w:ascii="맑은 고딕" w:hAnsi="맑은 고딕"/>
          <w:sz w:val="20"/>
        </w:rPr>
        <w:t xml:space="preserve">• </w:t>
      </w:r>
      <w:r>
        <w:rPr>
          <w:rFonts w:ascii="맑은 고딕" w:hAnsi="맑은 고딕"/>
          <w:color w:val="00ABF0"/>
          <w:sz w:val="20"/>
          <w:u w:val="single"/>
        </w:rPr>
        <w:t>1. 아키텍처 개요</w:t>
      </w:r>
    </w:p>
    <w:p>
      <w:pPr>
        <w:spacing w:before="40" w:after="40"/>
        <w:ind w:left="850"/>
      </w:pPr>
      <w:r>
        <w:rPr>
          <w:rFonts w:ascii="맑은 고딕" w:hAnsi="맑은 고딕"/>
          <w:sz w:val="20"/>
        </w:rPr>
        <w:t xml:space="preserve">• </w:t>
      </w:r>
      <w:r>
        <w:rPr>
          <w:rFonts w:ascii="맑은 고딕" w:hAnsi="맑은 고딕"/>
          <w:color w:val="00ABF0"/>
          <w:sz w:val="20"/>
          <w:u w:val="single"/>
        </w:rPr>
        <w:t>2. 하드웨어 구성</w:t>
      </w:r>
    </w:p>
    <w:p>
      <w:pPr>
        <w:spacing w:before="40" w:after="40"/>
        <w:ind w:left="850"/>
      </w:pPr>
      <w:r>
        <w:rPr>
          <w:rFonts w:ascii="맑은 고딕" w:hAnsi="맑은 고딕"/>
          <w:sz w:val="20"/>
        </w:rPr>
        <w:t xml:space="preserve">• </w:t>
      </w:r>
      <w:r>
        <w:rPr>
          <w:rFonts w:ascii="맑은 고딕" w:hAnsi="맑은 고딕"/>
          <w:color w:val="00ABF0"/>
          <w:sz w:val="20"/>
          <w:u w:val="single"/>
        </w:rPr>
        <w:t>3. 인프라 &amp; 가상화</w:t>
      </w:r>
    </w:p>
    <w:p>
      <w:pPr>
        <w:spacing w:before="40" w:after="40"/>
        <w:ind w:left="850"/>
      </w:pPr>
      <w:r>
        <w:rPr>
          <w:rFonts w:ascii="맑은 고딕" w:hAnsi="맑은 고딕"/>
          <w:sz w:val="20"/>
        </w:rPr>
        <w:t xml:space="preserve">• </w:t>
      </w:r>
      <w:r>
        <w:rPr>
          <w:rFonts w:ascii="맑은 고딕" w:hAnsi="맑은 고딕"/>
          <w:color w:val="00ABF0"/>
          <w:sz w:val="20"/>
          <w:u w:val="single"/>
        </w:rPr>
        <w:t>4. AI 모델 서빙 &amp; RAG</w:t>
      </w:r>
    </w:p>
    <w:p>
      <w:pPr>
        <w:spacing w:before="40" w:after="40"/>
        <w:ind w:left="850"/>
      </w:pPr>
      <w:r>
        <w:rPr>
          <w:rFonts w:ascii="맑은 고딕" w:hAnsi="맑은 고딕"/>
          <w:sz w:val="20"/>
        </w:rPr>
        <w:t xml:space="preserve">• </w:t>
      </w:r>
      <w:r>
        <w:rPr>
          <w:rFonts w:ascii="맑은 고딕" w:hAnsi="맑은 고딕"/>
          <w:color w:val="00ABF0"/>
          <w:sz w:val="20"/>
          <w:u w:val="single"/>
        </w:rPr>
        <w:t>5. 폐쇄망 보안 체계</w:t>
      </w:r>
    </w:p>
    <w:p>
      <w:pPr>
        <w:spacing w:before="40" w:after="40"/>
        <w:ind w:left="850"/>
      </w:pPr>
      <w:r>
        <w:rPr>
          <w:rFonts w:ascii="맑은 고딕" w:hAnsi="맑은 고딕"/>
          <w:sz w:val="20"/>
        </w:rPr>
        <w:t xml:space="preserve">• </w:t>
      </w:r>
      <w:r>
        <w:rPr>
          <w:rFonts w:ascii="맑은 고딕" w:hAnsi="맑은 고딕"/>
          <w:color w:val="00ABF0"/>
          <w:sz w:val="20"/>
          <w:u w:val="single"/>
        </w:rPr>
        <w:t>6. 모니터링 &amp; 관제</w:t>
      </w:r>
    </w:p>
    <w:p/>
    <w:p>
      <w:pPr>
        <w:pStyle w:val="Heading1"/>
      </w:pPr>
      <w:r>
        <w:rPr>
          <w:rFonts w:ascii="맑은 고딕" w:hAnsi="맑은 고딕"/>
          <w:color w:val="00ABF0"/>
          <w:sz w:val="36"/>
        </w:rPr>
        <w:t>온프레미스 AI 풀스택 아키텍처 가이드라인</w:t>
      </w:r>
    </w:p>
    <w:p>
      <w:pPr>
        <w:spacing w:before="80" w:after="80"/>
      </w:pPr>
      <w:r>
        <w:rPr>
          <w:rFonts w:ascii="맑은 고딕" w:hAnsi="맑은 고딕"/>
          <w:color w:val="000000"/>
          <w:sz w:val="20"/>
        </w:rPr>
        <w:br/>
        <w:t xml:space="preserve">          보안과 데이터 주권을 확보하기 위해 외부 네트워크와 격리된 온프레미스(On-Premise) 환경에서 고성능 대형 언어 모델(LLM) 및 지식 베이스 RAG 파이프라인을 안정적으로 구축하고 확장하기 위한 엔터프라이즈 레벨의 아키텍처 표준 가이드라인입니다.</w:t>
        <w:br/>
        <w:t xml:space="preserve">        </w:t>
      </w:r>
    </w:p>
    <w:p>
      <w:pPr>
        <w:pStyle w:val="Heading2"/>
      </w:pPr>
      <w:r>
        <w:rPr>
          <w:rFonts w:ascii="맑은 고딕" w:hAnsi="맑은 고딕"/>
          <w:color w:val="00ABF0"/>
          <w:sz w:val="30"/>
        </w:rPr>
        <w:t>1. 아키텍처 개요 (Overview)</w:t>
      </w:r>
    </w:p>
    <w:p>
      <w:pPr>
        <w:spacing w:before="80" w:after="80"/>
      </w:pPr>
      <w:r>
        <w:rPr>
          <w:rFonts w:ascii="맑은 고딕" w:hAnsi="맑은 고딕"/>
          <w:color w:val="000000"/>
          <w:sz w:val="20"/>
        </w:rPr>
        <w:br/>
        <w:t xml:space="preserve">          본 온프레미스 AI 풀스택 아키텍처는 고성능 연산 워크로드(GPU)부터 실시간 웹 프론트엔드까지 폐쇄망 내부에서 독립적으로 처리될 수 있도록 계층화되어 있습니다. 외부의 퍼블릭 클라우드 의존성을 100% 제거하고, 내부 데이터의 기밀성을 완벽히 보장하는 지리적 통제를 전제로 설계되었습니다.</w:t>
        <w:br/>
        <w:t xml:space="preserve">        </w:t>
      </w:r>
    </w:p>
    <w:p>
      <w:pPr>
        <w:pStyle w:val="Heading4"/>
      </w:pPr>
      <w:r>
        <w:rPr>
          <w:rFonts w:ascii="맑은 고딕" w:hAnsi="맑은 고딕"/>
          <w:sz w:val="24"/>
        </w:rPr>
        <w:t>핵심 설계 사상: 완전 자급자족형 아키텍처</w:t>
      </w:r>
    </w:p>
    <w:p>
      <w:pPr>
        <w:spacing w:before="80" w:after="80"/>
      </w:pPr>
      <w:r>
        <w:rPr>
          <w:rFonts w:ascii="맑은 고딕" w:hAnsi="맑은 고딕"/>
          <w:color w:val="000000"/>
          <w:sz w:val="20"/>
        </w:rPr>
        <w:br/>
        <w:t xml:space="preserve">            패키지 설치, 의존성 라이브러리, 모델 가중치(Weights)의 유효성 검사 등 어플리케이션 구동의 전 과정이 오프라인 미러링 저장소(Local Mirroring Repository)를 통해 통제되어야 하며, 인터넷망 차단 상태에서도 자가 치유 및 빌드가 지속 가능한 구조여야 합니다.</w:t>
        <w:br/>
        <w:t xml:space="preserve">          </w:t>
      </w:r>
    </w:p>
    <w:p>
      <w:pPr>
        <w:pStyle w:val="Heading2"/>
      </w:pPr>
      <w:r>
        <w:rPr>
          <w:rFonts w:ascii="맑은 고딕" w:hAnsi="맑은 고딕"/>
          <w:color w:val="00ABF0"/>
          <w:sz w:val="30"/>
        </w:rPr>
        <w:t>2. 하드웨어 하부 인프라 (Hardware Topology)</w:t>
      </w:r>
    </w:p>
    <w:p>
      <w:pPr>
        <w:spacing w:before="80" w:after="80"/>
      </w:pPr>
      <w:r>
        <w:rPr>
          <w:rFonts w:ascii="맑은 고딕" w:hAnsi="맑은 고딕"/>
          <w:color w:val="000000"/>
          <w:sz w:val="20"/>
        </w:rPr>
        <w:br/>
        <w:t xml:space="preserve">          온프레미스 AI 연산은 막대한 GPU 메모리와 스토리지 IOPS를 요구합니다. 모델 파라미터 크기 및 다중 접속량(Concurrency)에 따라 적절한 GPU 버스 인터페이스와 전원 공급 토폴로지를 구성해야 합니다.</w:t>
        <w:br/>
        <w:t xml:space="preserve">        </w:t>
      </w:r>
    </w:p>
    <w:p>
      <w:pPr>
        <w:pStyle w:val="Heading3"/>
      </w:pPr>
      <w:r>
        <w:rPr>
          <w:rFonts w:ascii="맑은 고딕" w:hAnsi="맑은 고딕"/>
          <w:color w:val="00ABF0"/>
          <w:sz w:val="26"/>
        </w:rPr>
        <w:t>연산 코어 아키텍처</w:t>
      </w:r>
    </w:p>
    <w:p>
      <w:pPr>
        <w:pStyle w:val="Heading3"/>
      </w:pPr>
      <w:r>
        <w:rPr>
          <w:rFonts w:ascii="맑은 고딕" w:hAnsi="맑은 고딕"/>
          <w:color w:val="00ABF0"/>
          <w:sz w:val="26"/>
        </w:rPr>
        <w:t>Storage IOPS 보강</w:t>
      </w:r>
    </w:p>
    <w:p>
      <w:pPr>
        <w:pStyle w:val="Heading3"/>
      </w:pPr>
      <w:r>
        <w:rPr>
          <w:rFonts w:ascii="맑은 고딕" w:hAnsi="맑은 고딕"/>
          <w:color w:val="00ABF0"/>
          <w:sz w:val="26"/>
        </w:rPr>
        <w:t>고대역 백본 네트워크</w:t>
      </w:r>
    </w:p>
    <w:p>
      <w:pPr>
        <w:pStyle w:val="Heading2"/>
      </w:pPr>
      <w:r>
        <w:rPr>
          <w:rFonts w:ascii="맑은 고딕" w:hAnsi="맑은 고딕"/>
          <w:color w:val="00ABF0"/>
          <w:sz w:val="30"/>
        </w:rPr>
        <w:t>3. 가상화 및 오케스트레이션 (Containerization)</w:t>
      </w:r>
    </w:p>
    <w:p>
      <w:pPr>
        <w:spacing w:before="80" w:after="80"/>
      </w:pPr>
      <w:r>
        <w:rPr>
          <w:rFonts w:ascii="맑은 고딕" w:hAnsi="맑은 고딕"/>
          <w:color w:val="000000"/>
          <w:sz w:val="20"/>
        </w:rPr>
        <w:br/>
        <w:t xml:space="preserve">          다수의 서비스 애플리케이션이 GPU 연산 자원을 안정적으로 나누어 사용하고, 유동적인 트래픽에 맞춰 실시간으로 GPU 연산 한계를 할당할 수 있도록 Kubernetes(K8s)와 가속 드라이버 스택을 구축합니다.</w:t>
        <w:br/>
        <w:t xml:space="preserve">       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F0F4FA"/>
          </w:tcPr>
          <w:p>
            <w:r/>
            <w:r>
              <w:rPr>
                <w:rFonts w:ascii="맑은 고딕" w:hAnsi="맑은 고딕"/>
                <w:b/>
                <w:color w:val="00ABF0"/>
                <w:sz w:val="20"/>
              </w:rPr>
              <w:t>기술 스택</w:t>
            </w:r>
          </w:p>
        </w:tc>
        <w:tc>
          <w:tcPr>
            <w:tcW w:type="dxa" w:w="3135"/>
            <w:shd w:val="clear" w:color="auto" w:fill="F0F4FA"/>
          </w:tcPr>
          <w:p>
            <w:r/>
            <w:r>
              <w:rPr>
                <w:rFonts w:ascii="맑은 고딕" w:hAnsi="맑은 고딕"/>
                <w:b/>
                <w:color w:val="00ABF0"/>
                <w:sz w:val="20"/>
              </w:rPr>
              <w:t>권장 구현 형태</w:t>
            </w:r>
          </w:p>
        </w:tc>
        <w:tc>
          <w:tcPr>
            <w:tcW w:type="dxa" w:w="3135"/>
            <w:shd w:val="clear" w:color="auto" w:fill="F0F4FA"/>
          </w:tcPr>
          <w:p>
            <w:r/>
            <w:r>
              <w:rPr>
                <w:rFonts w:ascii="맑은 고딕" w:hAnsi="맑은 고딕"/>
                <w:b/>
                <w:color w:val="00ABF0"/>
                <w:sz w:val="20"/>
              </w:rPr>
              <w:t>아키텍처 상의 역할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NVIDIA Container Toolkit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Docker 데몬 연동 (Runtime: nvidia)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컨테이너 내부에서 물리 호스트의 CUDA 코어 및 VRAM 직접 액세스 보장.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GPU Operator (Kubernetes)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vGPU 슬라이싱 &amp; MIG (Multi-Instance GPU)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한 장의 물리 GPU를 다수의 서비스 인스턴스가 VRAM 격리 상태로 공평하게 논리 분할하여 사용.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KubeFlow / Triton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모델 배포 파이프라인 통합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동적 배치(Dynamic Batching)를 이용한 대규모 동시 추론 요청 처리 최적화 및 큐 관리.</w:t>
            </w:r>
          </w:p>
        </w:tc>
      </w:tr>
    </w:tbl>
    <w:p/>
    <w:p>
      <w:pPr>
        <w:pStyle w:val="Heading2"/>
      </w:pPr>
      <w:r>
        <w:rPr>
          <w:rFonts w:ascii="맑은 고딕" w:hAnsi="맑은 고딕"/>
          <w:color w:val="00ABF0"/>
          <w:sz w:val="30"/>
        </w:rPr>
        <w:t>4. AI 모델 서빙 &amp; RAG 파이프라인 (Inference &amp; RAG)</w:t>
      </w:r>
    </w:p>
    <w:p>
      <w:pPr>
        <w:spacing w:before="80" w:after="80"/>
      </w:pPr>
      <w:r>
        <w:rPr>
          <w:rFonts w:ascii="맑은 고딕" w:hAnsi="맑은 고딕"/>
          <w:color w:val="000000"/>
          <w:sz w:val="20"/>
        </w:rPr>
        <w:br/>
        <w:t xml:space="preserve">          온프레미스 인퍼런스는 비용 효율적인 최적화 엔진의 탑재 여부가 전체 인프라 비용(TCO)을 결정합니다. vLLM 엔진과 로컬 임베딩 벡터 데이터베이스 결합은 가속화의 중심입니다.</w:t>
        <w:br/>
        <w:t xml:space="preserve">        </w:t>
      </w:r>
    </w:p>
    <w:p>
      <w:pPr>
        <w:pStyle w:val="Heading3"/>
      </w:pPr>
      <w:r>
        <w:rPr>
          <w:rFonts w:ascii="맑은 고딕" w:hAnsi="맑은 고딕"/>
          <w:color w:val="00ABF0"/>
          <w:sz w:val="26"/>
        </w:rPr>
        <w:t>vLLM 가속 엔진</w:t>
      </w:r>
    </w:p>
    <w:p>
      <w:pPr>
        <w:pStyle w:val="Heading3"/>
      </w:pPr>
      <w:r>
        <w:rPr>
          <w:rFonts w:ascii="맑은 고딕" w:hAnsi="맑은 고딕"/>
          <w:color w:val="00ABF0"/>
          <w:sz w:val="26"/>
        </w:rPr>
        <w:t>Milvus Vector DB</w:t>
      </w:r>
    </w:p>
    <w:p>
      <w:pPr>
        <w:pStyle w:val="Heading3"/>
      </w:pPr>
      <w:r>
        <w:rPr>
          <w:rFonts w:ascii="맑은 고딕" w:hAnsi="맑은 고딕"/>
          <w:color w:val="00ABF0"/>
          <w:sz w:val="26"/>
        </w:rPr>
        <w:t>FastAPI Streaming API</w:t>
      </w:r>
    </w:p>
    <w:p>
      <w:pPr>
        <w:pStyle w:val="Heading2"/>
      </w:pPr>
      <w:r>
        <w:rPr>
          <w:rFonts w:ascii="맑은 고딕" w:hAnsi="맑은 고딕"/>
          <w:color w:val="00ABF0"/>
          <w:sz w:val="30"/>
        </w:rPr>
        <w:t>5. 온프레미스 폐쇄망 보안 체계 (Security Governance)</w:t>
      </w:r>
    </w:p>
    <w:p>
      <w:pPr>
        <w:spacing w:before="80" w:after="80"/>
      </w:pPr>
      <w:r>
        <w:rPr>
          <w:rFonts w:ascii="맑은 고딕" w:hAnsi="맑은 고딕"/>
          <w:color w:val="000000"/>
          <w:sz w:val="20"/>
        </w:rPr>
        <w:br/>
        <w:t xml:space="preserve">          온프레미스 인프라는 기본적으로 '물리적 기밀화'를 전제로 합니다. 따라서 네트워크 경계와 내부 행위 제어가 최우선 원칙이 됩니다.</w:t>
        <w:br/>
        <w:t xml:space="preserve">        </w:t>
      </w:r>
    </w:p>
    <w:p>
      <w:pPr>
        <w:pStyle w:val="Heading4"/>
      </w:pPr>
      <w:r>
        <w:rPr>
          <w:rFonts w:ascii="맑은 고딕" w:hAnsi="맑은 고딕"/>
          <w:sz w:val="24"/>
        </w:rPr>
        <w:t>보안 관제 3대 행동 원칙</w:t>
      </w:r>
    </w:p>
    <w:p>
      <w:pPr>
        <w:spacing w:before="80" w:after="80"/>
      </w:pPr>
      <w:r>
        <w:rPr>
          <w:rFonts w:ascii="맑은 고딕" w:hAnsi="맑은 고딕"/>
          <w:color w:val="000000"/>
          <w:sz w:val="20"/>
        </w:rPr>
        <w:br/>
        <w:t xml:space="preserve">            1. </w:t>
      </w:r>
      <w:r>
        <w:rPr>
          <w:rFonts w:ascii="맑은 고딕" w:hAnsi="맑은 고딕"/>
          <w:b/>
          <w:color w:val="000000"/>
          <w:sz w:val="20"/>
        </w:rPr>
        <w:t>완전 단절(Air-Gapped)</w:t>
      </w:r>
      <w:r>
        <w:rPr>
          <w:rFonts w:ascii="맑은 고딕" w:hAnsi="맑은 고딕"/>
          <w:color w:val="000000"/>
          <w:sz w:val="20"/>
        </w:rPr>
        <w:t>: 외부 인터넷과의 어떠한 직접/우회 라우팅 경로도 존재해서는 안 됨.</w:t>
      </w:r>
      <w:r>
        <w:br/>
      </w:r>
      <w:r>
        <w:rPr>
          <w:rFonts w:ascii="맑은 고딕" w:hAnsi="맑은 고딕"/>
          <w:color w:val="000000"/>
          <w:sz w:val="20"/>
        </w:rPr>
        <w:br/>
        <w:t xml:space="preserve">            2. </w:t>
      </w:r>
      <w:r>
        <w:rPr>
          <w:rFonts w:ascii="맑은 고딕" w:hAnsi="맑은 고딕"/>
          <w:b/>
          <w:color w:val="000000"/>
          <w:sz w:val="20"/>
        </w:rPr>
        <w:t>PII 데이터 마스킹</w:t>
      </w:r>
      <w:r>
        <w:rPr>
          <w:rFonts w:ascii="맑은 고딕" w:hAnsi="맑은 고딕"/>
          <w:color w:val="000000"/>
          <w:sz w:val="20"/>
        </w:rPr>
        <w:t>: 사용자 정보(전화번호, 주민번호 등)는 저장 전 로컬 프록시 필터를 통해 암호화 및 비식별화 처리 필수.</w:t>
      </w:r>
      <w:r>
        <w:br/>
      </w:r>
      <w:r>
        <w:rPr>
          <w:rFonts w:ascii="맑은 고딕" w:hAnsi="맑은 고딕"/>
          <w:color w:val="000000"/>
          <w:sz w:val="20"/>
        </w:rPr>
        <w:br/>
        <w:t xml:space="preserve">            3. </w:t>
      </w:r>
      <w:r>
        <w:rPr>
          <w:rFonts w:ascii="맑은 고딕" w:hAnsi="맑은 고딕"/>
          <w:b/>
          <w:color w:val="000000"/>
          <w:sz w:val="20"/>
        </w:rPr>
        <w:t>로컬 CA &amp; SSL</w:t>
      </w:r>
      <w:r>
        <w:rPr>
          <w:rFonts w:ascii="맑은 고딕" w:hAnsi="맑은 고딕"/>
          <w:color w:val="000000"/>
          <w:sz w:val="20"/>
        </w:rPr>
        <w:t>: 폐쇄망 내부 사설 CA 인증서를 발급하여 모든 네트워크 구간(프론트-백-DB) 통신 암호화(HTTPS/TLS 1.3) 강제.</w:t>
        <w:br/>
        <w:t xml:space="preserve">          </w:t>
      </w:r>
    </w:p>
    <w:p>
      <w:pPr>
        <w:pStyle w:val="Heading2"/>
      </w:pPr>
      <w:r>
        <w:rPr>
          <w:rFonts w:ascii="맑은 고딕" w:hAnsi="맑은 고딕"/>
          <w:color w:val="00ABF0"/>
          <w:sz w:val="30"/>
        </w:rPr>
        <w:t>6. 모니터링 및 실시간 관제 (Observability)</w:t>
      </w:r>
    </w:p>
    <w:p>
      <w:pPr>
        <w:spacing w:before="80" w:after="80"/>
      </w:pPr>
      <w:r>
        <w:rPr>
          <w:rFonts w:ascii="맑은 고딕" w:hAnsi="맑은 고딕"/>
          <w:color w:val="000000"/>
          <w:sz w:val="20"/>
        </w:rPr>
        <w:br/>
        <w:t xml:space="preserve">          GPU의 온도를 비롯하여 전력 공급 상태, VRAM 잔여 상태, RAG 검색 스코어 적중률, API 서빙 레이턴시를 통합 감시할 수 있는 대시보드가 반드시 수반되어야 합니다.</w:t>
        <w:br/>
        <w:t xml:space="preserve">       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F0F4FA"/>
          </w:tcPr>
          <w:p>
            <w:r/>
            <w:r>
              <w:rPr>
                <w:rFonts w:ascii="맑은 고딕" w:hAnsi="맑은 고딕"/>
                <w:b/>
                <w:color w:val="00ABF0"/>
                <w:sz w:val="20"/>
              </w:rPr>
              <w:t>관제 대상</w:t>
            </w:r>
          </w:p>
        </w:tc>
        <w:tc>
          <w:tcPr>
            <w:tcW w:type="dxa" w:w="3135"/>
            <w:shd w:val="clear" w:color="auto" w:fill="F0F4FA"/>
          </w:tcPr>
          <w:p>
            <w:r/>
            <w:r>
              <w:rPr>
                <w:rFonts w:ascii="맑은 고딕" w:hAnsi="맑은 고딕"/>
                <w:b/>
                <w:color w:val="00ABF0"/>
                <w:sz w:val="20"/>
              </w:rPr>
              <w:t>사용 도구</w:t>
            </w:r>
          </w:p>
        </w:tc>
        <w:tc>
          <w:tcPr>
            <w:tcW w:type="dxa" w:w="3135"/>
            <w:shd w:val="clear" w:color="auto" w:fill="F0F4FA"/>
          </w:tcPr>
          <w:p>
            <w:r/>
            <w:r>
              <w:rPr>
                <w:rFonts w:ascii="맑은 고딕" w:hAnsi="맑은 고딕"/>
                <w:b/>
                <w:color w:val="00ABF0"/>
                <w:sz w:val="20"/>
              </w:rPr>
              <w:t>임계치 가이드라인 및 액션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GPU 물리 상태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NVIDIA DCGM Exporter + Prometheus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GPU 온도가 80°C 초과 시 스케줄러 자동 이탈 및 쿨링 팬 팬 스피드 제어 경보.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API 요청 레이턴시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OpenTelemetry + Grafana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TTFT(Time To First Token)가 1.5초를 초과할 경우 vLLM 복제 컨테이너 오토스케일 아웃 실행.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RAG 검색 신뢰도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로컬 LLM 채점관 파이프라인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답변 속 RAG 청크 유사도 점수가 0.5 미만일 경우 사용자 화면에 할루시네이션 가이드 표기 강제.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