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Malgun Gothic" w:hAnsi="Malgun Gothic"/>
          <w:b/>
          <w:color w:val="00ABF0"/>
          <w:sz w:val="17"/>
        </w:rPr>
        <w:t>MZC AI FULL STACK EXECUTIVE STRATEGY REPORT | CONFIDENTIAL</w:t>
      </w:r>
    </w:p>
    <w:p>
      <w:pPr>
        <w:spacing w:before="80" w:after="120"/>
      </w:pPr>
      <w:r>
        <w:rPr>
          <w:rFonts w:ascii="Malgun Gothic" w:hAnsi="Malgun Gothic"/>
          <w:b/>
          <w:color w:val="0F172A"/>
          <w:sz w:val="38"/>
        </w:rPr>
        <w:t>Nota.ai 솔루션 종합 분석 및</w:t>
        <w:br/>
        <w:t>On-Premises AI Full Stack 전략적 포지셔닝 보고서</w:t>
      </w:r>
    </w:p>
    <w:p>
      <w:pPr>
        <w:spacing w:before="0" w:after="240"/>
      </w:pPr>
      <w:r>
        <w:rPr>
          <w:rFonts w:ascii="Malgun Gothic" w:hAnsi="Malgun Gothic"/>
          <w:color w:val="555555"/>
          <w:sz w:val="21"/>
        </w:rPr>
        <w:t>두괄식 경영 보고서: AI Full Stack 레이어 구성, 온프레미스 구축을 위한 Missing Link,</w:t>
        <w:br/>
        <w:t>GPU Capex 75% 절감 강점 및 서버 주력 턴키 패키지 중심 제언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4" w:space="0" w:color="E2E8F0"/>
          <w:right w:val="none"/>
          <w:insideH w:val="single" w:sz="4" w:space="0" w:color="E2E8F0"/>
          <w:insideV w:val="none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문서 번호</w:t>
            </w:r>
          </w:p>
        </w:tc>
        <w:tc>
          <w:tcPr>
            <w:tcW w:type="dxa" w:w="29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algun Gothic" w:hAnsi="Malgun Gothic"/>
                <w:color w:val="222222"/>
                <w:sz w:val="17"/>
              </w:rPr>
              <w:t>SPEC-20260907-NOTA-ONPREM-01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작성 일자</w:t>
            </w:r>
          </w:p>
        </w:tc>
        <w:tc>
          <w:tcPr>
            <w:tcW w:type="dxa" w:w="29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algun Gothic" w:hAnsi="Malgun Gothic"/>
                <w:color w:val="222222"/>
                <w:sz w:val="17"/>
              </w:rPr>
              <w:t>2026-09-07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보고 형식</w:t>
            </w:r>
          </w:p>
        </w:tc>
        <w:tc>
          <w:tcPr>
            <w:tcW w:type="dxa" w:w="29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algun Gothic" w:hAnsi="Malgun Gothic"/>
                <w:color w:val="222222"/>
                <w:sz w:val="17"/>
              </w:rPr>
              <w:t>두괄식 경영전략 보고서 (Executive-First)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분석 대상</w:t>
            </w:r>
          </w:p>
        </w:tc>
        <w:tc>
          <w:tcPr>
            <w:tcW w:type="dxa" w:w="29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algun Gothic" w:hAnsi="Malgun Gothic"/>
                <w:color w:val="222222"/>
                <w:sz w:val="17"/>
              </w:rPr>
              <w:t>Nota.ai 공식 기술 및 사업 자료 5종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24" w:space="0" w:color="00ABF0"/>
          <w:bottom w:val="none"/>
          <w:right w:val="none"/>
        </w:tblBorders>
      </w:tblPr>
      <w:tblGrid>
        <w:gridCol w:w="9412"/>
      </w:tblGrid>
      <w:tr>
        <w:tc>
          <w:tcPr>
            <w:tcW w:type="dxa" w:w="9354"/>
            <w:tcMar>
              <w:top w:w="130" w:type="dxa"/>
              <w:bottom w:w="130" w:type="dxa"/>
              <w:left w:w="160" w:type="dxa"/>
              <w:right w:w="150" w:type="dxa"/>
            </w:tcMar>
            <w:shd w:fill="EFF6FF"/>
          </w:tcPr>
          <w:p>
            <w:pPr>
              <w:spacing w:before="0" w:after="60"/>
            </w:pPr>
            <w:r>
              <w:rPr>
                <w:rFonts w:ascii="Malgun Gothic" w:hAnsi="Malgun Gothic"/>
                <w:b/>
                <w:color w:val="0F172A"/>
                <w:sz w:val="19"/>
              </w:rPr>
              <w:t>EXECUTIVE SUMMARY: ON-PREM AI FULL STACK의 'MISSING LINK'를 완결하는 NOTA.AI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/>
                <w:color w:val="222222"/>
                <w:sz w:val="18"/>
              </w:rPr>
              <w:t>현재 메가존클라우드가 정의한 'MZC AI Full Stack'은 인프라(L1)-플랫폼(L2)-서빙/최적화(L3)-비즈니스앱(L4)의 유기적 구조를 완비하였으나, 이를 실제 고객의 사내 전산실(On-Premises)에 완결형으로 구축하려 할 때 ① 막대한 GPU 서버 도입 비용(Capex 5~6억), ② 전산실 랙 전력 한계(10kW 초과), ③ 100% 폐쇄망 소버린 보안, ④ 국산 NPU 조기 상용화 컴파일러 부재라는 치명적인 'Missing Link(결손 고리)'에 직면합니다. Nota.ai(NetsPresso)는 2,500억 매개변수 초대형 MoE 모델을 H100 8장에서 단 2장으로 서빙(GPU 비용 75% 절감, 지능 손실 단 -0.40%)하여 이 Missing Link를 단번에 해결하는 MZC On-Prem AI Full Stack의 핵심 엔진입니다. 본 보고서는 MZC의 핵심 역량인 [서버 AI 인프라 오퍼링 2종]을 최우선 주력으로 제안하고, Embedded/Edge/Physical AI는 [전략적 시장 탐색 2종]으로 구분하여 제시합니다. (상세 기술 원리 및 원천 데이터는 부록 및 참고자료 참조)</w:t>
            </w:r>
          </w:p>
        </w:tc>
      </w:tr>
    </w:tbl>
    <w:p>
      <w:pPr>
        <w:spacing w:before="0" w:after="80"/>
      </w:pPr>
    </w:p>
    <w:p>
      <w:pPr>
        <w:keepNext/>
        <w:spacing w:before="440" w:after="80"/>
      </w:pPr>
      <w:r>
        <w:rPr>
          <w:rFonts w:ascii="Malgun Gothic" w:hAnsi="Malgun Gothic"/>
          <w:b/>
          <w:color w:val="9D4EDD"/>
          <w:sz w:val="27"/>
        </w:rPr>
        <w:t xml:space="preserve">[제 1 장] </w:t>
      </w:r>
      <w:r>
        <w:rPr>
          <w:rFonts w:ascii="Malgun Gothic" w:hAnsi="Malgun Gothic"/>
          <w:b/>
          <w:color w:val="0F172A"/>
          <w:sz w:val="27"/>
        </w:rPr>
        <w:t>MZC AI Full Stack 구성 및 On-Prem 구축의 Missing Link</w:t>
      </w:r>
    </w:p>
    <w:p>
      <w:pPr>
        <w:keepNext/>
        <w:spacing w:before="0" w:after="160"/>
      </w:pPr>
      <w:r>
        <w:rPr>
          <w:rFonts w:ascii="Malgun Gothic" w:hAnsi="Malgun Gothic"/>
          <w:i/>
          <w:color w:val="555555"/>
          <w:sz w:val="19"/>
        </w:rPr>
        <w:t>현재 정리된 4대 표준 레이어 및 온프레미스 실도입 시 직면하는 4대 결손 고리 분석</w:t>
      </w:r>
    </w:p>
    <w:p>
      <w:pPr>
        <w:spacing w:before="0" w:after="80" w:line="300" w:lineRule="auto"/>
      </w:pPr>
      <w:r>
        <w:rPr>
          <w:rFonts w:ascii="Malgun Gothic" w:hAnsi="Malgun Gothic"/>
          <w:color w:val="222222"/>
          <w:sz w:val="19"/>
        </w:rPr>
        <w:t>메가존클라우드는 하드웨어부터 최상위 애플리케이션까지 엔터프라이즈 AI의 모든 여정을 턴키로 제공하는 'MZC AI Full Stack'을 구축하여 시장을 선도하고 있습니다.</w:t>
      </w:r>
    </w:p>
    <w:p>
      <w:pPr>
        <w:keepNext/>
        <w:spacing w:before="240" w:after="60"/>
      </w:pPr>
      <w:r>
        <w:rPr>
          <w:rFonts w:ascii="Malgun Gothic" w:hAnsi="Malgun Gothic"/>
          <w:b/>
          <w:color w:val="0F172A"/>
          <w:sz w:val="22"/>
        </w:rPr>
        <w:t>1. MZC AI Full Stack 표준 4대 레이어 구조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Layer 01. 하드웨어 인프라 (Computing &amp; Hardware): </w:t>
      </w:r>
      <w:r>
        <w:rPr>
          <w:rFonts w:ascii="Malgun Gothic" w:hAnsi="Malgun Gothic"/>
          <w:color w:val="222222"/>
          <w:sz w:val="19"/>
        </w:rPr>
        <w:t>Dell PowerEdge(R760 등), Cisco 네트워킹, NVIDIA GPU(H100/L40S) 및 국산 AI 반도체(NPU) 물리 서버 인프라.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Layer 02. 온프레미스 플랫폼 및 오케스트레이션 (Platform &amp; MLOps): </w:t>
      </w:r>
      <w:r>
        <w:rPr>
          <w:rFonts w:ascii="Malgun Gothic" w:hAnsi="Malgun Gothic"/>
          <w:color w:val="222222"/>
          <w:sz w:val="19"/>
        </w:rPr>
        <w:t>Red Hat OpenShift AI(RHOAI), Nutanix AHV/Kubernetes 기반의 컨테이너 가상화 및 클러스터 관리 환경.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Layer 03. 모델 최적화 및 고속 추론 서빙 (Model Optimization &amp; Serving): </w:t>
      </w:r>
      <w:r>
        <w:rPr>
          <w:rFonts w:ascii="Malgun Gothic" w:hAnsi="Malgun Gothic"/>
          <w:color w:val="222222"/>
          <w:sz w:val="19"/>
        </w:rPr>
        <w:t>vLLM, Triton, KServe 등 고속 토큰 생성 엔진 및 모델 경량화/양자화 파이프라인.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Layer 04. 비즈니스 AI 애플리케이션 및 버티컬 (AI Apps &amp; Solutions): </w:t>
      </w:r>
      <w:r>
        <w:rPr>
          <w:rFonts w:ascii="Malgun Gothic" w:hAnsi="Malgun Gothic"/>
          <w:color w:val="222222"/>
          <w:sz w:val="19"/>
        </w:rPr>
        <w:t>사내 기밀 문서 RAG, 프라이빗 코딩 에이전트, 산업별 특화 관제 및 분석 애플리케이션.</w:t>
      </w:r>
    </w:p>
    <w:p>
      <w:pPr>
        <w:keepNext/>
        <w:spacing w:before="240" w:after="60"/>
      </w:pPr>
      <w:r>
        <w:rPr>
          <w:rFonts w:ascii="Malgun Gothic" w:hAnsi="Malgun Gothic"/>
          <w:b/>
          <w:color w:val="0F172A"/>
          <w:sz w:val="22"/>
        </w:rPr>
        <w:t>2. On-Premises 실구축 시 직면하는 4대 Missing Link (결손 고리)</w:t>
      </w:r>
    </w:p>
    <w:p>
      <w:pPr>
        <w:spacing w:before="0" w:after="80" w:line="300" w:lineRule="auto"/>
      </w:pPr>
      <w:r>
        <w:rPr>
          <w:rFonts w:ascii="Malgun Gothic" w:hAnsi="Malgun Gothic"/>
          <w:color w:val="222222"/>
          <w:sz w:val="19"/>
        </w:rPr>
        <w:t>설계된 AI Full Stack 아키텍처를 실제 고객 전산실(On-Premises)에 납품하려 할 때, 아래의 4대 결손 고리로 인해 프로젝트가 지연되거나 무산되는 병목이 발생합니다: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Missing Link 1 (천문학적 GPU 서버 Capex 및 리드타임): </w:t>
      </w:r>
      <w:r>
        <w:rPr>
          <w:rFonts w:ascii="Malgun Gothic" w:hAnsi="Malgun Gothic"/>
          <w:color w:val="222222"/>
          <w:sz w:val="19"/>
        </w:rPr>
        <w:t>250B급 대형 파운데이션 MoE 모델을 사내에 구축하려면 고가의 H100 8-GPU 서버(대당 4.5억~6억 원) 1~2대가 필수적이며, 긴 조달 리드타임으로 고객 예산 승인이 좌초됨.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Missing Link 2 (전산실 랙 전력 10kW 한계 초과): </w:t>
      </w:r>
      <w:r>
        <w:rPr>
          <w:rFonts w:ascii="Malgun Gothic" w:hAnsi="Malgun Gothic"/>
          <w:color w:val="222222"/>
          <w:sz w:val="19"/>
        </w:rPr>
        <w:t>국내 기업 전산실의 표준 랙당 전력 허용량은 10~15kW 수준인데, H100 8-GPU 랙 서버 1대는 단독 피크 소비전력만 10.2kW에 달해 전산실 전기/공조 한계를 즉각 초과함.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Missing Link 3 (국산 NPU 소프트웨어 컴파일러 부재): </w:t>
      </w:r>
      <w:r>
        <w:rPr>
          <w:rFonts w:ascii="Malgun Gothic" w:hAnsi="Malgun Gothic"/>
          <w:color w:val="222222"/>
          <w:sz w:val="19"/>
        </w:rPr>
        <w:t>엔비디아 의존도를 낮추고 소버린 NPU를 도입하려 해도 고객의 파이토치 모델을 NPU에서 돌릴 수 있는 엔터프라이즈 컴파일러가 없어 실배포 불가.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Missing Link 4 (완전 폐쇄망 소버린 보안 완결성): </w:t>
      </w:r>
      <w:r>
        <w:rPr>
          <w:rFonts w:ascii="Malgun Gothic" w:hAnsi="Malgun Gothic"/>
          <w:color w:val="222222"/>
          <w:sz w:val="19"/>
        </w:rPr>
        <w:t>금융·방산 등 폐쇄망 환경에서 외부 인터넷 통신 없이 100% 사내 완결되는 지능형 압축·서빙 엔진의 결핍.</w:t>
      </w:r>
    </w:p>
    <w:p>
      <w:pPr>
        <w:keepNext/>
        <w:spacing w:before="440" w:after="80"/>
      </w:pPr>
      <w:r>
        <w:rPr>
          <w:rFonts w:ascii="Malgun Gothic" w:hAnsi="Malgun Gothic"/>
          <w:b/>
          <w:color w:val="9D4EDD"/>
          <w:sz w:val="27"/>
        </w:rPr>
        <w:t xml:space="preserve">[제 2 장] </w:t>
      </w:r>
      <w:r>
        <w:rPr>
          <w:rFonts w:ascii="Malgun Gothic" w:hAnsi="Malgun Gothic"/>
          <w:b/>
          <w:color w:val="0F172A"/>
          <w:sz w:val="27"/>
        </w:rPr>
        <w:t>[핵심 제언 1] On-Prem AI Full Stack 구축 시 6대 압도적 강점</w:t>
      </w:r>
    </w:p>
    <w:p>
      <w:pPr>
        <w:keepNext/>
        <w:spacing w:before="0" w:after="160"/>
      </w:pPr>
      <w:r>
        <w:rPr>
          <w:rFonts w:ascii="Malgun Gothic" w:hAnsi="Malgun Gothic"/>
          <w:i/>
          <w:color w:val="555555"/>
          <w:sz w:val="19"/>
        </w:rPr>
        <w:t>Missing Link를 완벽히 해결하는 Nota 솔루션 탑재 시 MZC 온프레미스 스택의 차별화</w:t>
      </w:r>
    </w:p>
    <w:p>
      <w:pPr>
        <w:spacing w:before="0" w:after="80" w:line="300" w:lineRule="auto"/>
      </w:pPr>
      <w:r>
        <w:rPr>
          <w:rFonts w:ascii="Malgun Gothic" w:hAnsi="Malgun Gothic"/>
          <w:color w:val="222222"/>
          <w:sz w:val="19"/>
        </w:rPr>
        <w:t>Nota.ai의 NetsPresso 최적화 엔진을 MZC Layer 03에 결합함으로써, 앞서 제기된 4대 결손 고리를 해결하고 다음과 같은 6대 압도적 사업적 강점을 확보합니다:</w:t>
      </w:r>
    </w:p>
    <w:p>
      <w:pPr>
        <w:keepNext/>
        <w:spacing w:before="240" w:after="60"/>
      </w:pPr>
      <w:r>
        <w:rPr>
          <w:rFonts w:ascii="Malgun Gothic" w:hAnsi="Malgun Gothic"/>
          <w:b/>
          <w:color w:val="0F172A"/>
          <w:sz w:val="22"/>
        </w:rPr>
        <w:t>강점 1. 온프레미스 GPU 서버 Capex 75% 절감 및 조달 리드타임 파괴</w:t>
      </w:r>
    </w:p>
    <w:p>
      <w:pPr>
        <w:spacing w:before="0" w:after="100" w:line="300" w:lineRule="auto"/>
      </w:pPr>
      <w:r>
        <w:rPr>
          <w:rFonts w:ascii="Malgun Gothic" w:hAnsi="Malgun Gothic"/>
          <w:color w:val="222222"/>
          <w:sz w:val="19"/>
        </w:rPr>
        <w:t>2,500억 매개변수(250B)급 MoE 모델을 기존 8-GPU(H100) 서버 대신 단 2-GPU 서버(약 1.5억 원)로 서빙 가능하게 하여 하드웨어 도입 비용을 즉시 75% 절감하고 도입 리드타임을 수개월 단축합니다. (지능 손실 단 -0.40% 보존)</w:t>
      </w:r>
    </w:p>
    <w:p>
      <w:pPr>
        <w:keepNext/>
        <w:spacing w:before="240" w:after="60"/>
      </w:pPr>
      <w:r>
        <w:rPr>
          <w:rFonts w:ascii="Malgun Gothic" w:hAnsi="Malgun Gothic"/>
          <w:b/>
          <w:color w:val="0F172A"/>
          <w:sz w:val="22"/>
        </w:rPr>
        <w:t>강점 2. 사내 전산실 랙 전력(Rack Power) 및 쿨링 공조 한계(10kW) 완벽 극복</w:t>
      </w:r>
    </w:p>
    <w:p>
      <w:pPr>
        <w:spacing w:before="0" w:after="100" w:line="300" w:lineRule="auto"/>
      </w:pPr>
      <w:r>
        <w:rPr>
          <w:rFonts w:ascii="Malgun Gothic" w:hAnsi="Malgun Gothic"/>
          <w:color w:val="222222"/>
          <w:sz w:val="19"/>
        </w:rPr>
        <w:t>H100 8-GPU 서버 1대의 피크 소비전력(10.2kW)을 2-GPU 구성(3.2kW)으로 대폭 낮추어, 수억 원의 전산실 수냉/전기 증설 공사 없이 기존 기업 전산실 랙에 즉시 안전하게 마운트할 수 있습니다.</w:t>
      </w:r>
    </w:p>
    <w:p>
      <w:pPr>
        <w:keepNext/>
        <w:spacing w:before="240" w:after="60"/>
      </w:pPr>
      <w:r>
        <w:rPr>
          <w:rFonts w:ascii="Malgun Gothic" w:hAnsi="Malgun Gothic"/>
          <w:b/>
          <w:color w:val="0F172A"/>
          <w:sz w:val="22"/>
        </w:rPr>
        <w:t>강점 3. 100% 완전 폐쇄망(Air-Gap) 소버린 AI 보안 체계 완결</w:t>
      </w:r>
    </w:p>
    <w:p>
      <w:pPr>
        <w:spacing w:before="0" w:after="100" w:line="300" w:lineRule="auto"/>
      </w:pPr>
      <w:r>
        <w:rPr>
          <w:rFonts w:ascii="Malgun Gothic" w:hAnsi="Malgun Gothic"/>
          <w:color w:val="222222"/>
          <w:sz w:val="19"/>
        </w:rPr>
        <w:t>외부 인터넷 연결이 법적으로 금지된 금융, 방산, 제조 R&amp;D의 사내 폐쇄망(Air-Gap)에 온프레미스 컨테이너 Appliance 형태로 탑재되어 데이터 유출 가능성을 원천 차단합니다.</w:t>
      </w:r>
    </w:p>
    <w:p>
      <w:pPr>
        <w:keepNext/>
        <w:spacing w:before="240" w:after="60"/>
      </w:pPr>
      <w:r>
        <w:rPr>
          <w:rFonts w:ascii="Malgun Gothic" w:hAnsi="Malgun Gothic"/>
          <w:b/>
          <w:color w:val="0F172A"/>
          <w:sz w:val="22"/>
        </w:rPr>
        <w:t>강점 4. 국산 AI 반도체(NPU) 온프레미스 조기 상용화 및 외산 락인 탈피</w:t>
      </w:r>
    </w:p>
    <w:p>
      <w:pPr>
        <w:spacing w:before="0" w:after="100" w:line="300" w:lineRule="auto"/>
      </w:pPr>
      <w:r>
        <w:rPr>
          <w:rFonts w:ascii="Malgun Gothic" w:hAnsi="Malgun Gothic"/>
          <w:color w:val="222222"/>
          <w:sz w:val="19"/>
        </w:rPr>
        <w:t>리벨리온, 딥엑스, 모빌린트 등 국산 NPU에 특화된 자동 연산자 분해/치환 및 타깃 컴파일을 지원하여, 외산 GPU 의존도를 낮추고 소버린 AI 인프라 구축 고객을 독점 선점합니다.</w:t>
      </w:r>
    </w:p>
    <w:p>
      <w:pPr>
        <w:keepNext/>
        <w:spacing w:before="240" w:after="60"/>
      </w:pPr>
      <w:r>
        <w:rPr>
          <w:rFonts w:ascii="Malgun Gothic" w:hAnsi="Malgun Gothic"/>
          <w:b/>
          <w:color w:val="0F172A"/>
          <w:sz w:val="22"/>
        </w:rPr>
        <w:t>강점 5. 현장(Edge) ➔ 사내 전산실(Core)을 연결하는 하이브리드 온프레미스 스택</w:t>
      </w:r>
    </w:p>
    <w:p>
      <w:pPr>
        <w:spacing w:before="0" w:after="100" w:line="300" w:lineRule="auto"/>
      </w:pPr>
      <w:r>
        <w:rPr>
          <w:rFonts w:ascii="Malgun Gothic" w:hAnsi="Malgun Gothic"/>
          <w:color w:val="222222"/>
          <w:sz w:val="19"/>
        </w:rPr>
        <w:t>스마트팩토리 현장 단말에서는 NetsPresso 경량화 모델로 30FPS 실시간 불량을 검출하고, 특이 상황 시 사내 온프레미스 중앙 서버의 대형 MoE로 라우팅하는 유기적 엣지-코어 하이브리드를 완성합니다.</w:t>
      </w:r>
    </w:p>
    <w:p>
      <w:pPr>
        <w:keepNext/>
        <w:spacing w:before="240" w:after="60"/>
      </w:pPr>
      <w:r>
        <w:rPr>
          <w:rFonts w:ascii="Malgun Gothic" w:hAnsi="Malgun Gothic"/>
          <w:b/>
          <w:color w:val="0F172A"/>
          <w:sz w:val="22"/>
        </w:rPr>
        <w:t>강점 6. 기업 보유 기존 레거시/중급 GPU 인프라의 파운데이션 모델 재활용</w:t>
      </w:r>
    </w:p>
    <w:p>
      <w:pPr>
        <w:spacing w:before="0" w:after="100" w:line="300" w:lineRule="auto"/>
      </w:pPr>
      <w:r>
        <w:rPr>
          <w:rFonts w:ascii="Malgun Gothic" w:hAnsi="Malgun Gothic"/>
          <w:color w:val="222222"/>
          <w:sz w:val="19"/>
        </w:rPr>
        <w:t>신규 H100 구매가 어려운 고객도 이미 보유 중인 RTX 6000 Ada, L40S, 구형 A100(80GB) 2~4장 환경에서 100B~250B급 파운데이션 모델을 60+ TPS로 쾌속 서빙할 수 있어 기투자 IT 자산 ROI를 극대화합니다.</w:t>
      </w:r>
    </w:p>
    <w:p>
      <w:pPr>
        <w:keepNext/>
        <w:spacing w:before="440" w:after="80"/>
      </w:pPr>
      <w:r>
        <w:rPr>
          <w:rFonts w:ascii="Malgun Gothic" w:hAnsi="Malgun Gothic"/>
          <w:b/>
          <w:color w:val="9D4EDD"/>
          <w:sz w:val="27"/>
        </w:rPr>
        <w:t xml:space="preserve">[제 3 장] </w:t>
      </w:r>
      <w:r>
        <w:rPr>
          <w:rFonts w:ascii="Malgun Gothic" w:hAnsi="Malgun Gothic"/>
          <w:b/>
          <w:color w:val="0F172A"/>
          <w:sz w:val="27"/>
        </w:rPr>
        <w:t>[핵심 제언 2] MZC On-Prem AI Full Stack x Nota 4대 턴키 패키지</w:t>
      </w:r>
    </w:p>
    <w:p>
      <w:pPr>
        <w:keepNext/>
        <w:spacing w:before="0" w:after="160"/>
      </w:pPr>
      <w:r>
        <w:rPr>
          <w:rFonts w:ascii="Malgun Gothic" w:hAnsi="Malgun Gothic"/>
          <w:i/>
          <w:color w:val="555555"/>
          <w:sz w:val="19"/>
        </w:rPr>
        <w:t>서버 인프라 중심 주력 오퍼링 2종 및 Physical/Edge AI 시장 탐색형 오퍼링 2종 이원화</w:t>
      </w:r>
    </w:p>
    <w:p>
      <w:pPr>
        <w:spacing w:before="0" w:after="80" w:line="300" w:lineRule="auto"/>
      </w:pPr>
      <w:r>
        <w:rPr>
          <w:rFonts w:ascii="Malgun Gothic" w:hAnsi="Malgun Gothic"/>
          <w:color w:val="222222"/>
          <w:sz w:val="19"/>
        </w:rPr>
        <w:t>MZC의 핵심 역량이 집중된 엔터프라이즈 서버 및 데이터센터 인프라 솔루션을 [파트 A. 최우선 주력 오퍼링]으로 전진 배치하고, 상대적으로 초기 탐색 단계인 Embedded / Edge / Physical AI 영역은 Nota의 기술력을 레버리지하는 [파트 B. 전략적 시장 탐색] 오퍼링으로 이원화하여 사업을 추진합니다.</w:t>
      </w:r>
    </w:p>
    <w:p>
      <w:pPr>
        <w:keepNext/>
        <w:spacing w:before="240" w:after="60"/>
      </w:pPr>
      <w:r>
        <w:rPr>
          <w:rFonts w:ascii="Malgun Gothic" w:hAnsi="Malgun Gothic"/>
          <w:b/>
          <w:color w:val="0F172A"/>
          <w:sz w:val="22"/>
        </w:rPr>
        <w:t>■ [파트 A. 핵심 주력] 엔터프라이즈 서버 AI 인프라 솔루션 (MZC 핵심 역량 직접 연계)</w:t>
      </w:r>
    </w:p>
    <w:p>
      <w:pPr>
        <w:spacing w:before="0" w:after="80" w:line="300" w:lineRule="auto"/>
      </w:pPr>
      <w:r>
        <w:rPr>
          <w:rFonts w:ascii="Malgun Gothic" w:hAnsi="Malgun Gothic"/>
          <w:color w:val="222222"/>
          <w:sz w:val="19"/>
        </w:rPr>
        <w:t>MZC의 인프라 SI/MSP 역량과 즉각 결합되어 고수익을 창출하는 최우선 공략 패키지군입니다.</w:t>
      </w:r>
    </w:p>
    <w:p>
      <w:pPr>
        <w:keepNext/>
        <w:spacing w:before="240" w:after="60"/>
      </w:pPr>
      <w:r>
        <w:rPr>
          <w:rFonts w:ascii="Malgun Gothic" w:hAnsi="Malgun Gothic"/>
          <w:b/>
          <w:color w:val="0F172A"/>
          <w:sz w:val="22"/>
        </w:rPr>
        <w:t>패키지 1. 소버린 파운데이션 MoE 온프레미스 패키지 (Sovereign MoE On-Prem)</w:t>
      </w:r>
    </w:p>
    <w:p>
      <w:pPr>
        <w:spacing w:before="0" w:after="120" w:line="300" w:lineRule="auto"/>
      </w:pPr>
      <w:r>
        <w:rPr>
          <w:rFonts w:ascii="Malgun Gothic" w:hAnsi="Malgun Gothic"/>
          <w:color w:val="222222"/>
          <w:sz w:val="19"/>
        </w:rPr>
        <w:t>• 대상 고객: 사내 기밀 문서 RAG, 프라이빗 코딩 에이전트 구축을 원하는 금융, 방산, 그룹사</w:t>
        <w:br/>
        <w:t>• 하드웨어 구성: Dell PowerEdge R760 (2x NVIDIA H100 NVL 또는 4x L40S) + Nutanix 온프레미스</w:t>
        <w:br/>
        <w:t>• 소프트웨어 스택: NetsPresso MoE INT4/NVFP4 압축 엔진 + vLLM 초저지연 서빙 + RHOAI Workbench</w:t>
        <w:br/>
        <w:t>• 제안 셀링포인트: 8-GPU 대형 클러스터 대비 하드웨어 TCO 75% 절감, 단일 2U 랙 서버로 60+ TPS 달성</w:t>
      </w:r>
    </w:p>
    <w:p>
      <w:pPr>
        <w:keepNext/>
        <w:spacing w:before="240" w:after="60"/>
      </w:pPr>
      <w:r>
        <w:rPr>
          <w:rFonts w:ascii="Malgun Gothic" w:hAnsi="Malgun Gothic"/>
          <w:b/>
          <w:color w:val="0F172A"/>
          <w:sz w:val="22"/>
        </w:rPr>
        <w:t>패키지 2. 소버린 국산 NPU 데이터센터 패키지 (Sovereign NPU Zero Lock-in)</w:t>
      </w:r>
    </w:p>
    <w:p>
      <w:pPr>
        <w:spacing w:before="0" w:after="120" w:line="300" w:lineRule="auto"/>
      </w:pPr>
      <w:r>
        <w:rPr>
          <w:rFonts w:ascii="Malgun Gothic" w:hAnsi="Malgun Gothic"/>
          <w:color w:val="222222"/>
          <w:sz w:val="19"/>
        </w:rPr>
        <w:t>• 대상 고객: 공공 클라우드 사업자, 국가 R&amp;D 센터, 탈 엔비디아 소버린 AI 인프라 구축 희망 기업</w:t>
        <w:br/>
        <w:t>• 하드웨어 구성: 리벨리온 ATOM / 딥엑스 M1 / 모빌린트 ARIES NPU 탑재 온프레미스 서버</w:t>
        <w:br/>
        <w:t>• 소프트웨어 스택: NetsPresso NPU 맞춤형 자동 컴파일러 + PyTorch 연산자 자동 분해/치환 모듈</w:t>
        <w:br/>
        <w:t>• 제안 셀링포인트: 소프트웨어 호환성 문제 100% 해결, 외산 GPU 대비 전력 및 도입 비용 60% 절감</w:t>
      </w:r>
    </w:p>
    <w:p>
      <w:pPr>
        <w:keepNext/>
        <w:spacing w:before="240" w:after="60"/>
      </w:pPr>
      <w:r>
        <w:rPr>
          <w:rFonts w:ascii="Malgun Gothic" w:hAnsi="Malgun Gothic"/>
          <w:b/>
          <w:color w:val="0F172A"/>
          <w:sz w:val="22"/>
        </w:rPr>
        <w:t>■ [파트 B. 시장 탐색 및 확장 옵션] Physical AI &amp; Edge AI 솔루션 (중장기 파트너십 협력형)</w:t>
      </w:r>
    </w:p>
    <w:p>
      <w:pPr>
        <w:spacing w:before="0" w:after="80" w:line="300" w:lineRule="auto"/>
      </w:pPr>
      <w:r>
        <w:rPr>
          <w:rFonts w:ascii="Malgun Gothic" w:hAnsi="Malgun Gothic"/>
          <w:color w:val="222222"/>
          <w:sz w:val="19"/>
        </w:rPr>
        <w:t>MZC의 자체 역량이 아직 Embedded/Edge/Physical AI 분야에서는 성숙 전 단계이므로, 무리한 직접 투자보다는 Nota의 글로벌 검증 기술력(두바이 RTA 계약, 대전시 200개 교차로, SmolVLA 로보틱스)을 전면에 세워 수요를 발굴하는 전략적 시장 탐색 오퍼링입니다.</w:t>
      </w:r>
    </w:p>
    <w:p>
      <w:pPr>
        <w:keepNext/>
        <w:spacing w:before="240" w:after="60"/>
      </w:pPr>
      <w:r>
        <w:rPr>
          <w:rFonts w:ascii="Malgun Gothic" w:hAnsi="Malgun Gothic"/>
          <w:b/>
          <w:color w:val="0F172A"/>
          <w:sz w:val="22"/>
        </w:rPr>
        <w:t>패키지 3. 스마트팩토리 하이브리드 비전 &amp; Physical AI 패키지 (Smart Factory &amp; Physical AI)</w:t>
      </w:r>
    </w:p>
    <w:p>
      <w:pPr>
        <w:spacing w:before="0" w:after="120" w:line="300" w:lineRule="auto"/>
      </w:pPr>
      <w:r>
        <w:rPr>
          <w:rFonts w:ascii="Malgun Gothic" w:hAnsi="Malgun Gothic"/>
          <w:color w:val="222222"/>
          <w:sz w:val="19"/>
        </w:rPr>
        <w:t>• 대상 고객: 제조 공정 불량 검출, 작업장 안전 관제, 조작 로봇(VLA) 도입 희망 스마트공장</w:t>
        <w:br/>
        <w:t>• 하드웨어 구성: 현장용 Advantech/NVIDIA Jetson Orin NX 엣지 박스 + 사내 온프레미스 R760 서버</w:t>
        <w:br/>
        <w:t>• 소프트웨어 스택: NetsPresso 엣지 비전 경량화(YOLOX-s INT8, -76% 지연) + SmolVLA 로봇 조작 제어</w:t>
        <w:br/>
        <w:t>• 전략적 접근: 30FPS 실시간 현장 판정과 로봇 작업 성공률 +4.6% 제고를 바탕으로 제조 버티컬 시장 기회 탐색</w:t>
      </w:r>
    </w:p>
    <w:p>
      <w:pPr>
        <w:keepNext/>
        <w:spacing w:before="240" w:after="60"/>
      </w:pPr>
      <w:r>
        <w:rPr>
          <w:rFonts w:ascii="Malgun Gothic" w:hAnsi="Malgun Gothic"/>
          <w:b/>
          <w:color w:val="0F172A"/>
          <w:sz w:val="22"/>
        </w:rPr>
        <w:t>패키지 4. 공공/지자체 스마트교통 &amp; 스마트시티 턴키 패키지 (Smart City &amp; ITS Turnkey)</w:t>
      </w:r>
    </w:p>
    <w:p>
      <w:pPr>
        <w:spacing w:before="0" w:after="120" w:line="300" w:lineRule="auto"/>
      </w:pPr>
      <w:r>
        <w:rPr>
          <w:rFonts w:ascii="Malgun Gothic" w:hAnsi="Malgun Gothic"/>
          <w:color w:val="222222"/>
          <w:sz w:val="19"/>
        </w:rPr>
        <w:t>• 대상 고객: 스마트 교차로 현대화, 터널/고속도로 돌발 상황 관제, 항만 자율주행 지자체 및 공공기관</w:t>
        <w:br/>
        <w:t>• 하드웨어 구성: 도로변 엣지 AI 관제 제어기 + 지자체 통합관제센터 온프레미스 서버</w:t>
        <w:br/>
        <w:t>• 소프트웨어 스택: Nota ITS 스마트 교차로 + VLM 기반 AID(자동 돌발 검지) + V2X 통신 모듈</w:t>
        <w:br/>
        <w:t>• 전략적 접근: 대전시(200개 교차로) 및 두바이 RTA 납품 레퍼런스를 앞세워 공공 스마트 인프라 사업 타당성 검토</w:t>
      </w:r>
    </w:p>
    <w:p>
      <w:pPr>
        <w:keepNext/>
        <w:spacing w:before="440" w:after="80"/>
      </w:pPr>
      <w:r>
        <w:rPr>
          <w:rFonts w:ascii="Malgun Gothic" w:hAnsi="Malgun Gothic"/>
          <w:b/>
          <w:color w:val="9D4EDD"/>
          <w:sz w:val="27"/>
        </w:rPr>
        <w:t xml:space="preserve">[제 4 장] </w:t>
      </w:r>
      <w:r>
        <w:rPr>
          <w:rFonts w:ascii="Malgun Gothic" w:hAnsi="Malgun Gothic"/>
          <w:b/>
          <w:color w:val="0F172A"/>
          <w:sz w:val="27"/>
        </w:rPr>
        <w:t>비즈니스 협력 모델, 실행 로드맵 및 최종 포지셔닝 선언</w:t>
      </w:r>
    </w:p>
    <w:p>
      <w:pPr>
        <w:keepNext/>
        <w:spacing w:before="0" w:after="160"/>
      </w:pPr>
      <w:r>
        <w:rPr>
          <w:rFonts w:ascii="Malgun Gothic" w:hAnsi="Malgun Gothic"/>
          <w:i/>
          <w:color w:val="555555"/>
          <w:sz w:val="19"/>
        </w:rPr>
        <w:t>하드웨어 어플라이언스 번들링 및 사내 MZC AI 데모 랩 실측을 통한 3단계 시장 공략</w:t>
      </w:r>
    </w:p>
    <w:p>
      <w:pPr>
        <w:keepNext/>
        <w:spacing w:before="240" w:after="60"/>
      </w:pPr>
      <w:r>
        <w:rPr>
          <w:rFonts w:ascii="Malgun Gothic" w:hAnsi="Malgun Gothic"/>
          <w:b/>
          <w:color w:val="0F172A"/>
          <w:sz w:val="22"/>
        </w:rPr>
        <w:t>1. 온프레미스 상용 라이선스 비즈니스 모델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어플라이언스 번들링 영구 라이선스: </w:t>
      </w:r>
      <w:r>
        <w:rPr>
          <w:rFonts w:ascii="Malgun Gothic" w:hAnsi="Malgun Gothic"/>
          <w:color w:val="222222"/>
          <w:sz w:val="19"/>
        </w:rPr>
        <w:t>서버 대당 Perpetual License + 연간 유지보수(15~20%) 방식으로 Dell/Nutanix 하드웨어 견적에 포함.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소켓/코어 기반 서브스크립션: </w:t>
      </w:r>
      <w:r>
        <w:rPr>
          <w:rFonts w:ascii="Malgun Gothic" w:hAnsi="Malgun Gothic"/>
          <w:color w:val="222222"/>
          <w:sz w:val="19"/>
        </w:rPr>
        <w:t>사내 프라이빗 클라우드용 연간/다년 단위 구독 라이선스 체계.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공공 ITS 턴키 SI 모델: </w:t>
      </w:r>
      <w:r>
        <w:rPr>
          <w:rFonts w:ascii="Malgun Gothic" w:hAnsi="Malgun Gothic"/>
          <w:color w:val="222222"/>
          <w:sz w:val="19"/>
        </w:rPr>
        <w:t>구축비(SI) + 소프트웨어 솔루션 납품비(Nota) 분배 구조.</w:t>
      </w:r>
    </w:p>
    <w:p>
      <w:pPr>
        <w:keepNext/>
        <w:spacing w:before="240" w:after="60"/>
      </w:pPr>
      <w:r>
        <w:rPr>
          <w:rFonts w:ascii="Malgun Gothic" w:hAnsi="Malgun Gothic"/>
          <w:b/>
          <w:color w:val="0F172A"/>
          <w:sz w:val="22"/>
        </w:rPr>
        <w:t>2. MZC x Nota 3단계 공동 실행 로드맵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1단계 - 사내 랩 실측 PoC (즉시 실행): </w:t>
      </w:r>
      <w:r>
        <w:rPr>
          <w:rFonts w:ascii="Malgun Gothic" w:hAnsi="Malgun Gothic"/>
          <w:color w:val="222222"/>
          <w:sz w:val="19"/>
        </w:rPr>
        <w:t>MZC 온프레미스 데모 랩에서 Solar-Open2-250B 모델 대상 NetsPresso INT4 압축 실측 및 2-GPU 서빙 TPS/VRAM 벤치마크 백서 발간.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2단계 - 공동 오퍼링 상품화 (1개월 내): </w:t>
      </w:r>
      <w:r>
        <w:rPr>
          <w:rFonts w:ascii="Malgun Gothic" w:hAnsi="Malgun Gothic"/>
          <w:color w:val="222222"/>
          <w:sz w:val="19"/>
        </w:rPr>
        <w:t>Dell/Nutanix 하드웨어와 결합한 'MZC Sovereign AI Appliance with Nota' 표준 카탈로그 및 제안서 템플릿 완성.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3단계 - 대형 고객 턴키 제안 (2~3개월 내): </w:t>
      </w:r>
      <w:r>
        <w:rPr>
          <w:rFonts w:ascii="Malgun Gothic" w:hAnsi="Malgun Gothic"/>
          <w:color w:val="222222"/>
          <w:sz w:val="19"/>
        </w:rPr>
        <w:t>금융권 폐쇄망 RAG 구축, 제조 엔터프라이즈 스마트공장, 공공 스마트시티 사업에 턴키 공동 입찰.</w:t>
      </w:r>
    </w:p>
    <w:p>
      <w:pPr>
        <w:keepNext/>
        <w:spacing w:before="240" w:after="60"/>
      </w:pPr>
      <w:r>
        <w:rPr>
          <w:rFonts w:ascii="Malgun Gothic" w:hAnsi="Malgun Gothic"/>
          <w:b/>
          <w:color w:val="0F172A"/>
          <w:sz w:val="22"/>
        </w:rPr>
        <w:t>3. 최종 전략적 포지셔닝 확정 선언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24" w:space="0" w:color="9D4EDD"/>
          <w:bottom w:val="none"/>
          <w:right w:val="none"/>
        </w:tblBorders>
      </w:tblPr>
      <w:tblGrid>
        <w:gridCol w:w="9412"/>
      </w:tblGrid>
      <w:tr>
        <w:tc>
          <w:tcPr>
            <w:tcW w:type="dxa" w:w="9354"/>
            <w:tcMar>
              <w:top w:w="130" w:type="dxa"/>
              <w:bottom w:w="130" w:type="dxa"/>
              <w:left w:w="160" w:type="dxa"/>
              <w:right w:w="150" w:type="dxa"/>
            </w:tcMar>
            <w:shd w:fill="FDF4FF"/>
          </w:tcPr>
          <w:p>
            <w:pPr>
              <w:spacing w:before="0" w:after="60"/>
            </w:pPr>
            <w:r>
              <w:rPr>
                <w:rFonts w:ascii="Malgun Gothic" w:hAnsi="Malgun Gothic"/>
                <w:b/>
                <w:color w:val="0F172A"/>
                <w:sz w:val="19"/>
              </w:rPr>
              <w:t>최종 전략적 포지셔닝 확정 (FINAL POSITIONING DECLARATION)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/>
                <w:color w:val="222222"/>
                <w:sz w:val="18"/>
              </w:rPr>
              <w:t>Nota.ai는 MZC AI Full Stack에서 단순한 '경량화 도구 후보군'이 아니며, ① 온프레미스 대규모 AI 도입 시 GPU Capex 75%와 전산실 랙 전력 한계를 파괴하는 [인프라 TCO 혁신 엔진], ② 국산 NPU 조기 상용화를 실현하는 [소버린 반도체 소프트웨어 허브], ③ 스마트팩토리 및 로보틱스 현장 수요를 타진하는 [Physical AI 탐색 엔진], ④ 대전시/두바이 RTA 검증 레퍼런스를 보유한 [스마트 인프라 솔루션]으로서, MZC 온프레미스 AI Full Stack 사업의 실질적 수주와 수익성을 결정짓는 최상위 '핵심 전략 파트너'로 공식 격상 확정합니다.</w:t>
            </w:r>
          </w:p>
        </w:tc>
      </w:tr>
    </w:tbl>
    <w:p>
      <w:pPr>
        <w:spacing w:before="0" w:after="80"/>
      </w:pPr>
    </w:p>
    <w:p>
      <w:pPr>
        <w:spacing w:before="600" w:after="200"/>
      </w:pPr>
      <w:r>
        <w:rPr>
          <w:rFonts w:ascii="Malgun Gothic" w:hAnsi="Malgun Gothic"/>
          <w:b/>
          <w:color w:val="D4AF37"/>
          <w:sz w:val="24"/>
        </w:rPr>
        <w:t>━━━━━━━━━━━━━━━━━━━━━━━━━━━━━━━━━━━━━━━━━━━━━━━━━━━━━━━━━━━━━━━━━━━━━━━━━━━━</w:t>
        <w:br/>
        <w:t>[부록 및 상세 기술 참조 자료 (APPENDIX)]</w:t>
      </w:r>
    </w:p>
    <w:p>
      <w:pPr>
        <w:keepNext/>
        <w:spacing w:before="440" w:after="80"/>
      </w:pPr>
      <w:r>
        <w:rPr>
          <w:rFonts w:ascii="Malgun Gothic" w:hAnsi="Malgun Gothic"/>
          <w:b/>
          <w:color w:val="D4AF37"/>
          <w:sz w:val="27"/>
        </w:rPr>
        <w:t xml:space="preserve">[부록 1] </w:t>
      </w:r>
      <w:r>
        <w:rPr>
          <w:rFonts w:ascii="Malgun Gothic" w:hAnsi="Malgun Gothic"/>
          <w:b/>
          <w:color w:val="0F172A"/>
          <w:sz w:val="27"/>
        </w:rPr>
        <w:t>Nota.ai 최신 개요 및 글로벌 사업 위상</w:t>
      </w:r>
    </w:p>
    <w:p>
      <w:pPr>
        <w:keepNext/>
        <w:spacing w:before="0" w:after="160"/>
      </w:pPr>
      <w:r>
        <w:rPr>
          <w:rFonts w:ascii="Malgun Gothic" w:hAnsi="Malgun Gothic"/>
          <w:i/>
          <w:color w:val="555555"/>
          <w:sz w:val="19"/>
        </w:rPr>
        <w:t>15B 달러 Stargate 프로젝트 유일 AI 스타트업 및 글로벌 파트너십</w:t>
      </w:r>
    </w:p>
    <w:p>
      <w:pPr>
        <w:spacing w:before="0" w:after="80" w:line="300" w:lineRule="auto"/>
      </w:pPr>
      <w:r>
        <w:rPr>
          <w:rFonts w:ascii="Malgun Gothic" w:hAnsi="Malgun Gothic"/>
          <w:color w:val="222222"/>
          <w:sz w:val="19"/>
        </w:rPr>
        <w:t>주식회사 노타(Nota.ai)는 AI 모델을 타깃 하드웨어에 맞춰 최적화 및 경량화하는 글로벌 테크 기업입니다. 단순 엣지 경량화를 넘어 초대형 파운데이션 모델(LLM/MoE), 온디바이스 멀티모달(VLM/VLA), 그리고 지능형 교통체계(ITS) 버티컬 솔루션까지 포괄합니다.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15 Billion Stargate Project 유일 참여: </w:t>
      </w:r>
      <w:r>
        <w:rPr>
          <w:rFonts w:ascii="Malgun Gothic" w:hAnsi="Malgun Gothic"/>
          <w:color w:val="222222"/>
          <w:sz w:val="19"/>
        </w:rPr>
        <w:t>삼성전자, 현대자동차그룹과 함께 150억 달러 규모 글로벌 AI 스타게이트 프로젝트에 AI 스타트업으로서 유일하게 공식 참여함.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글로벌 거점 및 100+ 파트너십: </w:t>
      </w:r>
      <w:r>
        <w:rPr>
          <w:rFonts w:ascii="Malgun Gothic" w:hAnsi="Malgun Gothic"/>
          <w:color w:val="222222"/>
          <w:sz w:val="19"/>
        </w:rPr>
        <w:t>한국 본사, 미국 실리콘밸리(San Jose), 독일(베를린), UAE(두바이) 거점 운영. Arm, Qualcomm, NVIDIA, ST, NXP 등 100여 개 파트너사와 양산 최적화 진행 중.</w:t>
      </w:r>
    </w:p>
    <w:p>
      <w:pPr>
        <w:keepNext/>
        <w:spacing w:before="440" w:after="80"/>
      </w:pPr>
      <w:r>
        <w:rPr>
          <w:rFonts w:ascii="Malgun Gothic" w:hAnsi="Malgun Gothic"/>
          <w:b/>
          <w:color w:val="D4AF37"/>
          <w:sz w:val="27"/>
        </w:rPr>
        <w:t xml:space="preserve">[부록 2] </w:t>
      </w:r>
      <w:r>
        <w:rPr>
          <w:rFonts w:ascii="Malgun Gothic" w:hAnsi="Malgun Gothic"/>
          <w:b/>
          <w:color w:val="0F172A"/>
          <w:sz w:val="27"/>
        </w:rPr>
        <w:t>NetsPresso 차세대 MoE 최적화 기술 상세 및 벤치마크 데이터 시트</w:t>
      </w:r>
    </w:p>
    <w:p>
      <w:pPr>
        <w:keepNext/>
        <w:spacing w:before="0" w:after="160"/>
      </w:pPr>
      <w:r>
        <w:rPr>
          <w:rFonts w:ascii="Malgun Gothic" w:hAnsi="Malgun Gothic"/>
          <w:i/>
          <w:color w:val="555555"/>
          <w:sz w:val="19"/>
        </w:rPr>
        <w:t>3단계 MoE 파이프라인 및 Solar-Open2-250B / Kimi K3 실측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Step 1 - 데이터 기반 PASCAL-MoE 양자화: </w:t>
      </w:r>
      <w:r>
        <w:rPr>
          <w:rFonts w:ascii="Malgun Gothic" w:hAnsi="Malgun Gothic"/>
          <w:color w:val="222222"/>
          <w:sz w:val="19"/>
        </w:rPr>
        <w:t>민감 전문가 라우팅(5% ➔ 18%)을 식별하여 가중치 4비트(INT4/NVFP4) 정밀 변환 및 라우팅 오차 차단.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Step 2 - Router 인지형(Router-Aware) 양자화: </w:t>
      </w:r>
      <w:r>
        <w:rPr>
          <w:rFonts w:ascii="Malgun Gothic" w:hAnsi="Malgun Gothic"/>
          <w:color w:val="222222"/>
          <w:sz w:val="19"/>
        </w:rPr>
        <w:t>전문가 간 토큰 라우팅 오버랩을 0.85 수준으로 견고히 유지(SOTA 0.80 상회)하여 다각적 추론력 보존.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Step 3 - 비균일 전역 프루닝(Non-uniform Expert Pruning): </w:t>
      </w:r>
      <w:r>
        <w:rPr>
          <w:rFonts w:ascii="Malgun Gothic" w:hAnsi="Malgun Gothic"/>
          <w:color w:val="222222"/>
          <w:sz w:val="19"/>
        </w:rPr>
        <w:t>층별 기여도 분석 기반 저기여 전문가 모듈 차등 제거로 성능 저하 없이 GPU 50% 추가 절감.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474"/>
            <w:tcMar>
              <w:top w:w="80" w:type="dxa"/>
              <w:bottom w:w="80" w:type="dxa"/>
              <w:left w:w="70" w:type="dxa"/>
              <w:right w:w="70" w:type="dxa"/>
            </w:tcMar>
            <w:shd w:fill="0F172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모델명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70" w:type="dxa"/>
              <w:right w:w="70" w:type="dxa"/>
            </w:tcMar>
            <w:shd w:fill="0F172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최적화 구성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70" w:type="dxa"/>
              <w:right w:w="70" w:type="dxa"/>
            </w:tcMar>
            <w:shd w:fill="0F172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Weight (GB)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70" w:type="dxa"/>
              <w:right w:w="70" w:type="dxa"/>
            </w:tcMar>
            <w:shd w:fill="0F172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총 VRAM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70" w:type="dxa"/>
              <w:right w:w="70" w:type="dxa"/>
            </w:tcMar>
            <w:shd w:fill="0F172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필요 GPU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70" w:type="dxa"/>
              <w:right w:w="70" w:type="dxa"/>
            </w:tcMar>
            <w:shd w:fill="0F172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핵심 결과 및 지능 보존</w:t>
            </w:r>
          </w:p>
        </w:tc>
      </w:tr>
      <w:tr>
        <w:tc>
          <w:tcPr>
            <w:tcW w:type="dxa" w:w="147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Solar-Open2</w:t>
              <w:br/>
              <w:t>(250B MoE)</w:t>
            </w:r>
          </w:p>
        </w:tc>
        <w:tc>
          <w:tcPr>
            <w:tcW w:type="dxa" w:w="19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BF16 (원본 베이스라인)</w:t>
            </w:r>
          </w:p>
        </w:tc>
        <w:tc>
          <w:tcPr>
            <w:tcW w:type="dxa" w:w="147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500.6 GB</w:t>
            </w:r>
          </w:p>
        </w:tc>
        <w:tc>
          <w:tcPr>
            <w:tcW w:type="dxa" w:w="147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520.6 GB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H100 x8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기준 성능 (대형 클러스터 필수)</w:t>
            </w:r>
          </w:p>
        </w:tc>
      </w:tr>
      <w:tr>
        <w:tc>
          <w:tcPr>
            <w:tcW w:type="dxa" w:w="147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Solar-Open2</w:t>
              <w:br/>
              <w:t>(250B MoE)</w:t>
            </w:r>
          </w:p>
        </w:tc>
        <w:tc>
          <w:tcPr>
            <w:tcW w:type="dxa" w:w="192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Nota INT4 Global-Pruned</w:t>
            </w:r>
          </w:p>
        </w:tc>
        <w:tc>
          <w:tcPr>
            <w:tcW w:type="dxa" w:w="147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117.8 GB</w:t>
            </w:r>
          </w:p>
        </w:tc>
        <w:tc>
          <w:tcPr>
            <w:tcW w:type="dxa" w:w="147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137.8 GB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C92A2A"/>
                <w:sz w:val="16"/>
              </w:rPr>
              <w:t>H100 x2 (-75%)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15개 태스크 지능 손실 -0.40%</w:t>
              <w:br/>
              <w:t>단일 2-GPU 서버 서빙 실현</w:t>
            </w:r>
          </w:p>
        </w:tc>
      </w:tr>
      <w:tr>
        <w:tc>
          <w:tcPr>
            <w:tcW w:type="dxa" w:w="147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Solar-Open2</w:t>
              <w:br/>
              <w:t>(250B MoE)</w:t>
            </w:r>
          </w:p>
        </w:tc>
        <w:tc>
          <w:tcPr>
            <w:tcW w:type="dxa" w:w="19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Nota NVFP4 Global-Pruned</w:t>
            </w:r>
          </w:p>
        </w:tc>
        <w:tc>
          <w:tcPr>
            <w:tcW w:type="dxa" w:w="147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126.1 GB</w:t>
            </w:r>
          </w:p>
        </w:tc>
        <w:tc>
          <w:tcPr>
            <w:tcW w:type="dxa" w:w="147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146.1 GB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b/>
                <w:color w:val="C92A2A"/>
                <w:sz w:val="16"/>
              </w:rPr>
              <w:t>H100 x2 (-75%)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지능 손실 -0.22% (무손실급)</w:t>
              <w:br/>
              <w:t>2x H100 단일 서버 서빙</w:t>
            </w:r>
          </w:p>
        </w:tc>
      </w:tr>
      <w:tr>
        <w:tc>
          <w:tcPr>
            <w:tcW w:type="dxa" w:w="147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Solar-Open</w:t>
              <w:br/>
              <w:t>(100B MoE)</w:t>
            </w:r>
          </w:p>
        </w:tc>
        <w:tc>
          <w:tcPr>
            <w:tcW w:type="dxa" w:w="192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Nota INT4 (과기정통부 1차)</w:t>
            </w:r>
          </w:p>
        </w:tc>
        <w:tc>
          <w:tcPr>
            <w:tcW w:type="dxa" w:w="147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51.9 GB</w:t>
            </w:r>
          </w:p>
        </w:tc>
        <w:tc>
          <w:tcPr>
            <w:tcW w:type="dxa" w:w="147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51.9 GB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A100 x2 (-50%)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VRAM -72.8%, MMLU 한국어 51.84</w:t>
              <w:br/>
              <w:t>(기존 AWQ 6.19 대비 8배 우수)</w:t>
            </w:r>
          </w:p>
        </w:tc>
      </w:tr>
      <w:tr>
        <w:tc>
          <w:tcPr>
            <w:tcW w:type="dxa" w:w="147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Kimi K3</w:t>
              <w:br/>
              <w:t>(2.8T 초거대 MoE)</w:t>
            </w:r>
          </w:p>
        </w:tc>
        <w:tc>
          <w:tcPr>
            <w:tcW w:type="dxa" w:w="19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Nota 50% 비균일 프루닝</w:t>
            </w:r>
          </w:p>
        </w:tc>
        <w:tc>
          <w:tcPr>
            <w:tcW w:type="dxa" w:w="147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1.4T Params</w:t>
            </w:r>
          </w:p>
        </w:tc>
        <w:tc>
          <w:tcPr>
            <w:tcW w:type="dxa" w:w="147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VRAM -50%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b/>
                <w:color w:val="C92A2A"/>
                <w:sz w:val="16"/>
              </w:rPr>
              <w:t>B300 x4 (-50%)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단일 4-GPU 서버 실현</w:t>
              <w:br/>
              <w:t>GPQA-D +2.52, IFEval +2.22</w:t>
            </w:r>
          </w:p>
        </w:tc>
      </w:tr>
    </w:tbl>
    <w:p>
      <w:pPr>
        <w:spacing w:after="80"/>
      </w:pPr>
    </w:p>
    <w:p>
      <w:pPr>
        <w:keepNext/>
        <w:spacing w:before="440" w:after="80"/>
      </w:pPr>
      <w:r>
        <w:rPr>
          <w:rFonts w:ascii="Malgun Gothic" w:hAnsi="Malgun Gothic"/>
          <w:b/>
          <w:color w:val="D4AF37"/>
          <w:sz w:val="27"/>
        </w:rPr>
        <w:t xml:space="preserve">[부록 3] </w:t>
      </w:r>
      <w:r>
        <w:rPr>
          <w:rFonts w:ascii="Malgun Gothic" w:hAnsi="Malgun Gothic"/>
          <w:b/>
          <w:color w:val="0F172A"/>
          <w:sz w:val="27"/>
        </w:rPr>
        <w:t>On-Device / Multimodal &amp; 엣지/임베디드 실측 데이터</w:t>
      </w:r>
    </w:p>
    <w:p>
      <w:pPr>
        <w:keepNext/>
        <w:spacing w:before="0" w:after="160"/>
      </w:pPr>
      <w:r>
        <w:rPr>
          <w:rFonts w:ascii="Malgun Gothic" w:hAnsi="Malgun Gothic"/>
          <w:i/>
          <w:color w:val="555555"/>
          <w:sz w:val="19"/>
        </w:rPr>
        <w:t>VLM, 로보틱스 VLA, 음성인식 61배 가속 및 국산 NPU 파트너십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Qualcomm IQ-9075 Llava-1.5-7B (VLM): </w:t>
      </w:r>
      <w:r>
        <w:rPr>
          <w:rFonts w:ascii="Malgun Gothic" w:hAnsi="Malgun Gothic"/>
          <w:color w:val="222222"/>
          <w:sz w:val="19"/>
        </w:rPr>
        <w:t>7.6 ➔ 15.6 FPS (2.05배 가속), VRAM 13.9GB ➔ 4.3GB (-69% 절감).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NVIDIA RTX 3090 SmolVLA 0.5B (로보틱스 Action): </w:t>
      </w:r>
      <w:r>
        <w:rPr>
          <w:rFonts w:ascii="Malgun Gothic" w:hAnsi="Malgun Gothic"/>
          <w:color w:val="222222"/>
          <w:sz w:val="19"/>
        </w:rPr>
        <w:t>621 ➔ 357ms (1.74배 가속), 로봇 작업 성공률 +4.6% 향상.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NVIDIA RTX 3090 Qwen3-ASR-0.6B (음성인식): </w:t>
      </w:r>
      <w:r>
        <w:rPr>
          <w:rFonts w:ascii="Malgun Gothic" w:hAnsi="Malgun Gothic"/>
          <w:color w:val="222222"/>
          <w:sz w:val="19"/>
        </w:rPr>
        <w:t>429 ➔ 7ms (61.3배 가속, CER -0.3% 지능 유지).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국산 NPU 에코시스템 실증: </w:t>
      </w:r>
      <w:r>
        <w:rPr>
          <w:rFonts w:ascii="Malgun Gothic" w:hAnsi="Malgun Gothic"/>
          <w:color w:val="222222"/>
          <w:sz w:val="19"/>
        </w:rPr>
        <w:t>모빌린트 ARIES(80TOPS): VLM 객체탐지 DETR 재설계 1601ms ➔ 89.97ms(94% 단축),</w:t>
        <w:br/>
        <w:t>텔레칩스 Dolphin5: 차량용 비전 4종 100% 구동,</w:t>
        <w:br/>
        <w:t>딥엑스 M1 NPU: ViT-L/14 CLIP 인코더 최적화 108.9ms ➔ 95.37ms.</w:t>
      </w:r>
    </w:p>
    <w:p>
      <w:pPr>
        <w:keepNext/>
        <w:spacing w:before="440" w:after="80"/>
      </w:pPr>
      <w:r>
        <w:rPr>
          <w:rFonts w:ascii="Malgun Gothic" w:hAnsi="Malgun Gothic"/>
          <w:b/>
          <w:color w:val="D4AF37"/>
          <w:sz w:val="27"/>
        </w:rPr>
        <w:t xml:space="preserve">[부록 4] </w:t>
      </w:r>
      <w:r>
        <w:rPr>
          <w:rFonts w:ascii="Malgun Gothic" w:hAnsi="Malgun Gothic"/>
          <w:b/>
          <w:color w:val="0F172A"/>
          <w:sz w:val="27"/>
        </w:rPr>
        <w:t>독자 버티컬 솔루션: Nota ITS 상세 분석</w:t>
      </w:r>
    </w:p>
    <w:p>
      <w:pPr>
        <w:keepNext/>
        <w:spacing w:before="0" w:after="160"/>
      </w:pPr>
      <w:r>
        <w:rPr>
          <w:rFonts w:ascii="Malgun Gothic" w:hAnsi="Malgun Gothic"/>
          <w:i/>
          <w:color w:val="555555"/>
          <w:sz w:val="19"/>
        </w:rPr>
        <w:t>대전 200개 교차로, 케냐 수출, UAE 두바이 RTA VLM 계약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스마트 교차로 시스템: </w:t>
      </w:r>
      <w:r>
        <w:rPr>
          <w:rFonts w:ascii="Malgun Gothic" w:hAnsi="Malgun Gothic"/>
          <w:color w:val="222222"/>
          <w:sz w:val="19"/>
        </w:rPr>
        <w:t>대전광역시 200개 교차로(800ch) 실구축 운영 (99% 공인 정확도), 케냐 나이로비 25개 지점 수출 계약 체결.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VLM 기반 자동 돌발 검지(AID): </w:t>
      </w:r>
      <w:r>
        <w:rPr>
          <w:rFonts w:ascii="Malgun Gothic" w:hAnsi="Malgun Gothic"/>
          <w:color w:val="222222"/>
          <w:sz w:val="19"/>
        </w:rPr>
        <w:t>한국 국도 ITS 혁신기술공모사업 선정, UAE 두바이 교통국(RTA) VLM 기반 도로 영상 관제 계약 체결.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V2X 협력 자율주행: </w:t>
      </w:r>
      <w:r>
        <w:rPr>
          <w:rFonts w:ascii="Malgun Gothic" w:hAnsi="Malgun Gothic"/>
          <w:color w:val="222222"/>
          <w:sz w:val="19"/>
        </w:rPr>
        <w:t>제주/인천 항만 자율주행 가이던스, UAE 아부다비 사디야트 섬 보행자/자율주행 V2X PoC 완료.</w:t>
      </w:r>
    </w:p>
    <w:p>
      <w:pPr>
        <w:keepNext/>
        <w:spacing w:before="440" w:after="80"/>
      </w:pPr>
      <w:r>
        <w:rPr>
          <w:rFonts w:ascii="Malgun Gothic" w:hAnsi="Malgun Gothic"/>
          <w:b/>
          <w:color w:val="D4AF37"/>
          <w:sz w:val="27"/>
        </w:rPr>
        <w:t xml:space="preserve">[부록 5] </w:t>
      </w:r>
      <w:r>
        <w:rPr>
          <w:rFonts w:ascii="Malgun Gothic" w:hAnsi="Malgun Gothic"/>
          <w:b/>
          <w:color w:val="0F172A"/>
          <w:sz w:val="27"/>
        </w:rPr>
        <w:t>참고 문헌 및 공식 전달 기술 자료 출처</w:t>
      </w:r>
    </w:p>
    <w:p>
      <w:pPr>
        <w:keepNext/>
        <w:spacing w:before="0" w:after="160"/>
      </w:pPr>
      <w:r>
        <w:rPr>
          <w:rFonts w:ascii="Malgun Gothic" w:hAnsi="Malgun Gothic"/>
          <w:i/>
          <w:color w:val="555555"/>
          <w:sz w:val="19"/>
        </w:rPr>
        <w:t>Nota.ai 협의 전달 원본 문서 및 보도 기사 출처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Nota_ITS_FCD_2026.pdf: </w:t>
      </w:r>
      <w:r>
        <w:rPr>
          <w:rFonts w:ascii="Malgun Gothic" w:hAnsi="Malgun Gothic"/>
          <w:color w:val="222222"/>
          <w:sz w:val="19"/>
        </w:rPr>
        <w:t>주식회사 노타 공식 ITS 솔루션 및 글로벌 사례 소개서 (2026, 19p)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Nota_NetsPresso_FCD_한글_2026_H1.pdf: </w:t>
      </w:r>
      <w:r>
        <w:rPr>
          <w:rFonts w:ascii="Malgun Gothic" w:hAnsi="Malgun Gothic"/>
          <w:color w:val="222222"/>
          <w:sz w:val="19"/>
        </w:rPr>
        <w:t>NetsPresso 기반 AI 모델 최적화 서비스 공식 기술 문서 (2026 H1, 40p)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Nota_NetsPresso_UseCases_2026H2_v1.0.pdf: </w:t>
      </w:r>
      <w:r>
        <w:rPr>
          <w:rFonts w:ascii="Malgun Gothic" w:hAnsi="Malgun Gothic"/>
          <w:color w:val="222222"/>
          <w:sz w:val="19"/>
        </w:rPr>
        <w:t>NetsPresso 고객 성공 사례집 (SKT, Arm, 삼성, 업스테이지, 모빌린트, 텔레칩스 등, 2026 H2, 14p)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Nota_NetsPresso_기사내용.pdf: </w:t>
      </w:r>
      <w:r>
        <w:rPr>
          <w:rFonts w:ascii="Malgun Gothic" w:hAnsi="Malgun Gothic"/>
          <w:color w:val="222222"/>
          <w:sz w:val="19"/>
        </w:rPr>
        <w:t>대규모 MoE LLM(Solar-Open-100B, Solar-Open2-250B, Kimi K3) 최적화 기술 분석 기사 (2026, 6p)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양자화_최적화_사례.pdf: </w:t>
      </w:r>
      <w:r>
        <w:rPr>
          <w:rFonts w:ascii="Malgun Gothic" w:hAnsi="Malgun Gothic"/>
          <w:color w:val="222222"/>
          <w:sz w:val="19"/>
        </w:rPr>
        <w:t>NVIDIA H100/A100, Qualcomm IQ, RTX 3090 및 국산 NPU 실측 데이터 시트 (2026, 7p)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e4ds News (2026): </w:t>
      </w:r>
      <w:r>
        <w:rPr>
          <w:rFonts w:ascii="Malgun Gothic" w:hAnsi="Malgun Gothic"/>
          <w:color w:val="222222"/>
          <w:sz w:val="19"/>
        </w:rPr>
        <w:t>노타, 과기정통부 국가 파운데이션 모델 100B 최적화로 GPU 50% 절감 보도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The AI News (2026): </w:t>
      </w:r>
      <w:r>
        <w:rPr>
          <w:rFonts w:ascii="Malgun Gothic" w:hAnsi="Malgun Gothic"/>
          <w:color w:val="222222"/>
          <w:sz w:val="19"/>
        </w:rPr>
        <w:t>노타, 2500억 파라미터 거대 모델 4비트 양자화 및 비균일 프루닝 성공 보도</w:t>
      </w:r>
    </w:p>
    <w:p>
      <w:pPr>
        <w:pStyle w:val="ListBullet"/>
        <w:spacing w:before="20" w:after="60" w:line="288" w:lineRule="auto"/>
      </w:pPr>
      <w:r>
        <w:rPr>
          <w:rFonts w:ascii="Malgun Gothic" w:hAnsi="Malgun Gothic"/>
          <w:b/>
          <w:color w:val="0F172A"/>
          <w:sz w:val="19"/>
        </w:rPr>
        <w:t xml:space="preserve">ZDNet Korea (2026): </w:t>
      </w:r>
      <w:r>
        <w:rPr>
          <w:rFonts w:ascii="Malgun Gothic" w:hAnsi="Malgun Gothic"/>
          <w:color w:val="222222"/>
          <w:sz w:val="19"/>
        </w:rPr>
        <w:t>노타, 2.8조 매개변수 Kimi K3 최신 모델 B300 4장으로 서빙 최적화 보도</w:t>
      </w:r>
    </w:p>
    <w:sectPr w:rsidR="00FC693F" w:rsidRPr="0006063C" w:rsidSect="00034616">
      <w:pgSz w:w="11906" w:h="16838"/>
      <w:pgMar w:top="1361" w:right="1247" w:bottom="136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