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Malgun Gothic" w:hAnsi="Malgun Gothic"/>
          <w:b/>
          <w:color w:val="0097A7"/>
          <w:sz w:val="18"/>
        </w:rPr>
        <w:t>⚡ HARDWARE-LEVEL CDI &amp; PRIVATE CLOUD FEASIBILITY REPORT</w:t>
      </w:r>
    </w:p>
    <w:p>
      <w:pPr>
        <w:spacing w:before="80" w:after="120"/>
      </w:pPr>
      <w:r>
        <w:rPr>
          <w:rFonts w:ascii="Malgun Gothic" w:hAnsi="Malgun Gothic"/>
          <w:b/>
          <w:color w:val="0F172A"/>
          <w:sz w:val="32"/>
        </w:rPr>
        <w:t>Liqid Composable GPU &amp; Memory Pooling 기술 분석</w:t>
        <w:br/>
        <w:t>&amp; MZC AI Full Stack 연계 / 총판 사업 타당성 검토</w:t>
      </w:r>
    </w:p>
    <w:p>
      <w:pPr>
        <w:spacing w:before="0" w:after="240"/>
      </w:pPr>
      <w:r>
        <w:rPr>
          <w:rFonts w:ascii="Malgun Gothic" w:hAnsi="Malgun Gothic"/>
          <w:color w:val="555555"/>
          <w:sz w:val="19"/>
        </w:rPr>
        <w:t>소프트웨어 정의 GPU/DRAM 풀링(CDI) 기술 심층 분석, NVIDIA NVL-72 대비 7배 코어 비용 절감 및 90% KV Cache 가속 효과 검토, 그리고 ISSU(Solution Sales &amp; Presales) 조직 특성 및 인프라 제약 기반의 Private Cloud 파트너 세일즈 오퍼링 전략</w:t>
      </w:r>
    </w:p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[1] </w:t>
      </w:r>
      <w:r>
        <w:rPr>
          <w:rFonts w:ascii="Malgun Gothic" w:hAnsi="Malgun Gothic"/>
          <w:b/>
          <w:color w:val="0F172A"/>
          <w:sz w:val="26"/>
        </w:rPr>
        <w:t>ISSU 조직 배경 및 분석 기본 전제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Solution Sales / Presales 조직 특성, 파트너 판매 구조 및 인프라 제약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tcMar>
              <w:top w:w="140" w:type="dxa"/>
              <w:bottom w:w="140" w:type="dxa"/>
              <w:left w:w="160" w:type="dxa"/>
              <w:right w:w="160" w:type="dxa"/>
            </w:tcMar>
            <w:shd w:fill="FFFDF5"/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0F172A"/>
                <w:sz w:val="19"/>
              </w:rPr>
              <w:t>🏛️ ISSU(Integrated Solution Sales Unit) 조직 정의 및 비즈니스 모델</w:t>
            </w:r>
          </w:p>
          <w:p>
            <w:pPr>
              <w:spacing w:before="40" w:after="40" w:line="300" w:lineRule="auto"/>
              <w:ind w:left="170"/>
            </w:pPr>
            <w:r>
              <w:rPr>
                <w:rFonts w:ascii="Malgun Gothic" w:hAnsi="Malgun Gothic"/>
                <w:color w:val="222222"/>
                <w:sz w:val="17"/>
              </w:rPr>
              <w:t>• [조직의 본질]: ISSU는 메가존클라우드의 솔루션 세일즈(Solution Sales), 기술 영업 및 프리세일즈(Presales) 중심 조직입니다.</w:t>
            </w:r>
          </w:p>
          <w:p>
            <w:pPr>
              <w:spacing w:before="40" w:after="40" w:line="300" w:lineRule="auto"/>
              <w:ind w:left="170"/>
            </w:pPr>
            <w:r>
              <w:rPr>
                <w:rFonts w:ascii="Malgun Gothic" w:hAnsi="Malgun Gothic"/>
                <w:color w:val="222222"/>
                <w:sz w:val="17"/>
              </w:rPr>
              <w:t>• [하드웨어 솔루션의 성격]: H/W를 직접 제조하거나 사내에 장비를 보유하지 않으며, 당사는 '세일즈 오퍼링(Offering)' 및 아키텍처 컨설팅 패키지 형태로 포트폴리오를 보유합니다 (현재 AIDC 사업에 대하여 검토 중이나, 구체화된 내용은 없음).</w:t>
            </w:r>
          </w:p>
          <w:p>
            <w:pPr>
              <w:spacing w:before="40" w:after="40" w:line="300" w:lineRule="auto"/>
              <w:ind w:left="170"/>
            </w:pPr>
            <w:r>
              <w:rPr>
                <w:rFonts w:ascii="Malgun Gothic" w:hAnsi="Malgun Gothic"/>
                <w:color w:val="222222"/>
                <w:sz w:val="17"/>
              </w:rPr>
              <w:t>• [판매 및 공급 체계]: 실제 하드웨어의 조달, 납품, 유지보수 및 구축은 델(Dell)과 엔비디아(NVIDIA) 파트너를 통하여 이루어짐.</w:t>
            </w:r>
          </w:p>
          <w:p>
            <w:pPr>
              <w:spacing w:before="40" w:after="40" w:line="300" w:lineRule="auto"/>
              <w:ind w:left="170"/>
            </w:pPr>
            <w:r>
              <w:rPr>
                <w:rFonts w:ascii="Malgun Gothic" w:hAnsi="Malgun Gothic"/>
                <w:color w:val="222222"/>
                <w:sz w:val="17"/>
              </w:rPr>
              <w:t>• [현재의 인프라 제약]: 현재 ISSU 내부에는 하드웨어를 직접 설치하여 테스트할 수 있는 자체 실증 Infra가 부재한 상태입니다.</w:t>
            </w:r>
          </w:p>
        </w:tc>
      </w:tr>
    </w:tbl>
    <w:p>
      <w:pPr>
        <w:spacing w:before="0" w:after="120"/>
      </w:pPr>
    </w:p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[2] </w:t>
      </w:r>
      <w:r>
        <w:rPr>
          <w:rFonts w:ascii="Malgun Gothic" w:hAnsi="Malgun Gothic"/>
          <w:b/>
          <w:color w:val="0F172A"/>
          <w:sz w:val="26"/>
        </w:rPr>
        <w:t>Liqid(리키드) 핵심 기술 요약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PCIe Gen5 기반 GPU &amp; DRAM 분리 및 소프트웨어 정의 동적 풀링 (CDI)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Liqid는 서버 내부에 고정되어 있던 GPU와 메모리(DRAM)를 섀시 단위로 분리(Disaggregation)하고, 초고속 PCIe Gen5 x16 패브릭과 소프트웨어(Liqid Matrix)를 통해 필요한 만큼 동적으로 묶어주는 Composable Disaggregated Infrastructure (CDI) 플랫폼입니다.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86"/>
        <w:gridCol w:w="4986"/>
      </w:tblGrid>
      <w:tr>
        <w:tc>
          <w:tcPr>
            <w:tcW w:type="dxa" w:w="255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핵심 기술 영역</w:t>
            </w:r>
          </w:p>
        </w:tc>
        <w:tc>
          <w:tcPr>
            <w:tcW w:type="dxa" w:w="7087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상세 기술 내용 및 엔터프라이즈 가치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6"/>
              </w:rPr>
              <w:t>1. PCIe Gen5 패브릭 기반</w:t>
              <w:br/>
              <w:t>GPU/DRAM 풀링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• Liqid Expansion Chassis: 섀시당 10x GPU(최대 30x GPU 풀링), 섀시당 40TB DRAM(최대 200TB 풀링)</w:t>
              <w:br/>
              <w:t>• 기존 서버 자산 100% 보호: Dell, HPE, Cisco, Supermicro 등 기존 1U~4U 서버에 PCIe HIC 카드만 장착하여 연결</w:t>
              <w:br/>
              <w:t>• 초저지연 버스 전송: 네트워크 스위치 오버헤드 없이 네이티브 PCIe Gen5 속도로 자원 공유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097A7"/>
                <w:sz w:val="16"/>
              </w:rPr>
              <w:t>2. Liqid Matrix SW</w:t>
              <w:br/>
              <w:t>동적 자원 오케스트레이션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• 소프트웨어 정의 자원 할당: 물리적 케이블 재연결 없이 GUI/API로 서버에 GPU/메모리를 1초 만에 증설/회수</w:t>
              <w:br/>
              <w:t>• Kubernetes &amp; Slurm 플러그인: 컨테이너 워크로드 요구량에 맞춰 GPU 개수 및 DRAM 크기를 자율 스케줄링</w:t>
              <w:br/>
              <w:t>• 자원 과다 프로비저닝(Overprovisioning) 75% 절감 및 서버 수 75% 감소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6"/>
              </w:rPr>
              <w:t>3. 대용량 DRAM 풀링 &amp;</w:t>
              <w:br/>
              <w:t>90% KV Cache 가속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• 최대 200TB 초대형 DRAM 풀: 단일 GPU 메모리 한계를 극복하는 거대 메모리 공유 풀 제공</w:t>
              <w:br/>
              <w:t>• 90% KV Cache Hit Rate: LLM 긴 문맥 추론 시 토큰 재연산(Recompute)을 제거하여 추론 속도 7배 향상</w:t>
              <w:br/>
              <w:t>• Tokens per Watt 2배 극대화 및 코어당 전력 소모 5배 절감</w:t>
            </w:r>
          </w:p>
        </w:tc>
      </w:tr>
    </w:tbl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[3] </w:t>
      </w:r>
      <w:r>
        <w:rPr>
          <w:rFonts w:ascii="Malgun Gothic" w:hAnsi="Malgun Gothic"/>
          <w:b/>
          <w:color w:val="0F172A"/>
          <w:sz w:val="26"/>
        </w:rPr>
        <w:t>엔비디아 NVL-72 vs Liqid PCIe-72 심층 비교 분석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독점 수랭 턴키 팩토리 대비 공랭 데이터센터 TCO 최적화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비교 지표</w:t>
            </w:r>
          </w:p>
        </w:tc>
        <w:tc>
          <w:tcPr>
            <w:tcW w:type="dxa" w:w="3855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NVIDIA NVL-72 (독점 턴키 팩토리)</w:t>
            </w:r>
          </w:p>
        </w:tc>
        <w:tc>
          <w:tcPr>
            <w:tcW w:type="dxa" w:w="3969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Liqid PCIe-72 (컴포저블 풀링)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GPU 및 아키텍처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72x B200 NVLink 일체형 (고정형 랙)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72x RTX 6000 Ada / L40S PCIe (동적 풀링)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코어당 단가 / 비용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~$30,000/GPU (Core당 $2.21)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~$7,500/GPU (Core당 $0.31, 약 7배 우수)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전력 소모 (Power)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~150 kW (특수 수랭식 랙 필수)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~60 kW (일반 공랭식 랙 지원, 5배 우수)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데이터센터 요구조건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수랭 설비 완비된 신축 데이터센터 전용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기존 일반 기업 전산실/데이터센터 즉시 설치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인프라 유연성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정적 구성 (Static, 변경 불가)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S/W 기반 동적 자원 재할당 (Composable)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LLM 추론 경제성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대규모 학습 중심, 추론 시 과도한 TCO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대용량 DRAM KV Cache 연동 시 최상위 Tokens/$</w:t>
            </w:r>
          </w:p>
        </w:tc>
      </w:tr>
    </w:tbl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[4] </w:t>
      </w:r>
      <w:r>
        <w:rPr>
          <w:rFonts w:ascii="Malgun Gothic" w:hAnsi="Malgun Gothic"/>
          <w:b/>
          <w:color w:val="0F172A"/>
          <w:sz w:val="26"/>
        </w:rPr>
        <w:t>엔터프라이즈 고가용성(HA) 및 PCIe/NTB 구조적 제약 · 성능 비교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고가용성 리스크, 랙 스케일 제약 및 NVLink / InfiniBand 대비 대역폭·지연속도 비교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1"/>
        </w:rPr>
        <w:t>■ 1. 고가용성(HA) 및 단일 장애점(SPOF) 리스크 평가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• Expansion Chassis 레벨 SPOF: Liqid 섀시 1대에 최대 30개 GPU 및 다수 호스트가 연결되므로, 섀시 전원/PCIe 스위치 고장 시 연결된 모든 서버의 AI 서비스가 동시 중단되는 장애 확산 위험이 존재합니다.</w:t>
        <w:br/>
        <w:t>• PCIe 링크 페일오버의 한계: 이더넷/InfiniBand(LACP/BGP)와 달리 PCIe 하드웨어 버스 단절 시 OS 커널 패닉(PCIe AER) 및 CUDA 컨텍스트 강제 종료가 발생할 수 있어 무중단 하드웨어 페일오버에 태생적 한계가 있습니다.</w:t>
        <w:br/>
        <w:t>• 컨트롤 플레인(Liqid Matrix) 이중화: Matrix 오케스트레이터의 Active-Standby 이중화 및 메타데이터 동기화 아키텍처가 필수 검증 항목입니다.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1"/>
        </w:rPr>
        <w:t>■ 2. PCIe &amp; NTB(Non-Transparent Bridge) 확장성 제약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• 초기 세팅 후 동적 토폴로지 변경의 제약: PCIe는 기본적으로 트리(Tree) 구조의 정적 버스 열거(Bus Enumeration)에 의존합니다. 런타임 동적 재할당(Hot-plug) 시 OS 커널 드라이버 및 CUDA 런타임 리로드 간헐적 불안정성이 발생할 수 있습니다.</w:t>
        <w:br/>
        <w:t>• 랙 스케일(Rack-Scale) 한계: 단일 섀시(최대 30x GPU) 및 단일 Pod(최대 16대 서버) 범위 내에서는 효과적이나, 멀티 랙(Multi-Rack) 이상의 대규모 클러스터로 확장 시에는 결국 InfiniBand/RoCEv2 네트워크 브릿징이 강제됩니다.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1"/>
        </w:rPr>
        <w:t>■ 3. 패브릭 성능 비교 매트릭스: NVLink vs InfiniBand vs Liqid PCIe (NTB)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패브릭 규격</w:t>
            </w:r>
          </w:p>
        </w:tc>
        <w:tc>
          <w:tcPr>
            <w:tcW w:type="dxa" w:w="19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양방향 대역폭</w:t>
            </w:r>
          </w:p>
        </w:tc>
        <w:tc>
          <w:tcPr>
            <w:tcW w:type="dxa" w:w="187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전송 지연 (Latency)</w:t>
            </w:r>
          </w:p>
        </w:tc>
        <w:tc>
          <w:tcPr>
            <w:tcW w:type="dxa" w:w="3969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워크로드 적합성 평가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6"/>
              </w:rPr>
              <w:t>NVIDIA NVLink 5</w:t>
              <w:br/>
              <w:t>(B200 / NVL-72)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1,800 GB/s (1.8 TB/s)</w:t>
              <w:br/>
              <w:t>(Liqid 대비 약 28배)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~100 ns</w:t>
              <w:br/>
              <w:t>(초저지연)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초거대 LLM 분산 사전학습(Pre-training) 및 텐서 병렬화(TP) 필수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097A7"/>
                <w:sz w:val="16"/>
              </w:rPr>
              <w:t>NVIDIA InfiniBand</w:t>
              <w:br/>
              <w:t>(NDR 400G / XDR 800G)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50 ~ 100 GB/s per Port</w:t>
              <w:br/>
              <w:t>(400G ~ 800G)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~600 ns ~ 1 µs</w:t>
              <w:br/>
              <w:t>(RDMA 가속)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멀티 노드/멀티 랙 대규모 분산 클러스터링 글로벌 표준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6"/>
              </w:rPr>
              <w:t>Liqid PCIe Gen5 x16</w:t>
              <w:br/>
              <w:t>(NTB Fabric Pooling)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~64 GB/s</w:t>
              <w:br/>
              <w:t>(단방향 32 GB/s)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~200 ~ 400 ns</w:t>
              <w:br/>
              <w:t>(NTB 맵핑 오버헤드)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❌ 대규모 분산 학습 부적합</w:t>
              <w:br/>
              <w:t>✅ 독립 추론 서빙 &amp; 대용량 KV Cache 공유 최적</w:t>
            </w:r>
          </w:p>
        </w:tc>
      </w:tr>
    </w:tbl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[5] </w:t>
      </w:r>
      <w:r>
        <w:rPr>
          <w:rFonts w:ascii="Malgun Gothic" w:hAnsi="Malgun Gothic"/>
          <w:b/>
          <w:color w:val="0F172A"/>
          <w:sz w:val="26"/>
        </w:rPr>
        <w:t>엔터프라이즈 프라이빗 AI 하드웨어 토탈 패키지 제안 모델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서버 + GPU + 풀링 섀시 + 스토리지 + RHOAI 결합 턴키 토탈 어플라이언스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엔터프라이즈 고객에게 Liqid를 개별 부품이나 단품 카드로 제안할 경우 도입 및 검증 장벽이 높아지므로, '서버(Dell) + 가속기(NVIDIA) + 풀링 섀시(Liqid) + 플랫폼(RHOAI) + 올인원 랙'이 결합된 '엔터프라이즈 프라이빗 AI 하드웨어 토탈 패키지' 형태의 턴키 오퍼링으로 제안합니다.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구성 영역</w:t>
            </w:r>
          </w:p>
        </w:tc>
        <w:tc>
          <w:tcPr>
            <w:tcW w:type="dxa" w:w="4535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토탈 패키지 표준 하드웨어 &amp; S/W 규격</w:t>
            </w:r>
          </w:p>
        </w:tc>
        <w:tc>
          <w:tcPr>
            <w:tcW w:type="dxa" w:w="311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조달 및 수행 주체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호스트 컴퓨팅</w:t>
              <w:br/>
              <w:t>(Compute Host)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Dell PowerEdge R760 / R660 (Dual Intel Xeon, 4~8 노드)</w:t>
              <w:br/>
              <w:t>• PCIe Gen5 HIC 기본 탑재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델(Dell) 총판 파트너사</w:t>
              <w:br/>
              <w:t>(물리 서버 조달 및 H/W 보증)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컴포저블 풀링</w:t>
              <w:br/>
              <w:t>(CDI Chassis)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Liqid UltraStack PCIe Gen5 섀시 (1~2대)</w:t>
              <w:br/>
              <w:t>• 섀시당 10~30x GPU 수용, 최대 200TB DRAM 풀링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MZC ISSU (총판 라이선스)</w:t>
              <w:br/>
              <w:t>+ H/W 파트너 랙 마운팅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AI 가속기</w:t>
              <w:br/>
              <w:t>(GPU Accelerator)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NVIDIA RTX 6000 Ada (48GB) 또는 L40S PCIe 16~32대</w:t>
              <w:br/>
              <w:t>• 공랭식 데이터센터 최적화 가속기 팩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엔비디아(NVIDIA) 파트너사</w:t>
              <w:br/>
              <w:t>(GPU 공급 및 엔터프라이즈 지원)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엔터프라이즈 스토리지</w:t>
              <w:br/>
              <w:t>(Storage)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Dell PowerScale / All-Flash NVMe 스토리지 (100TB~)</w:t>
              <w:br/>
              <w:t>• RAG 문서 파이프라인 및 고속 벡터 저장소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델(Dell) 파트너사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플랫폼 &amp; 솔루션</w:t>
              <w:br/>
              <w:t>(AI Software Stack)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Liqid Matrix SW + Red Hat OpenShift AI (RHOAI)</w:t>
              <w:br/>
              <w:t>• MZC 엔터프라이즈 문서 파이프라인/코딩 에이전트 탑재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MZC ISSU</w:t>
              <w:br/>
              <w:t>(AI 아키텍처 SI &amp; 통합 플랫폼 구축)</w:t>
            </w:r>
          </w:p>
        </w:tc>
      </w:tr>
    </w:tbl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[6] </w:t>
      </w:r>
      <w:r>
        <w:rPr>
          <w:rFonts w:ascii="Malgun Gothic" w:hAnsi="Malgun Gothic"/>
          <w:b/>
          <w:color w:val="0F172A"/>
          <w:sz w:val="26"/>
        </w:rPr>
        <w:t>엔터프라이즈 비용 분석 및 TCO 경제성 검토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초기 투자(CapEx), S/W 라이선스, 전력/상면(OpEx) 및 3개년 TCO 비교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Liqid CDI 기반 솔루션의 사업성 평가에서 핵심은 초기 하드웨어 투자(CapEx), 소프트웨어 라이선스, 그리고 데이터센터 운영비(OpEx)를 종합한 3개년 TCO 경제성입니다.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비용 비교 항목</w:t>
            </w:r>
          </w:p>
        </w:tc>
        <w:tc>
          <w:tcPr>
            <w:tcW w:type="dxa" w:w="255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[시나리오 A] NVIDIA NVL-72</w:t>
              <w:br/>
              <w:t>(B200 수랭 턴키)</w:t>
            </w:r>
          </w:p>
        </w:tc>
        <w:tc>
          <w:tcPr>
            <w:tcW w:type="dxa" w:w="255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[시나리오 B] 전통적 고정형 서버</w:t>
              <w:br/>
              <w:t>(4x 8-GPU R760, 32x L40S)</w:t>
            </w:r>
          </w:p>
        </w:tc>
        <w:tc>
          <w:tcPr>
            <w:tcW w:type="dxa" w:w="27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[시나리오 C] MZC Composable AI</w:t>
              <w:br/>
              <w:t>(1x Liqid + 32x L40S 풀링)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초기 H/W 도입비 (CapEx)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약 35억 ~ 45억 원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약 12억 ~ 14억 원 (서버 4대)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5"/>
              </w:rPr>
              <w:t>약 7억 ~ 9억 원 (서버 1~2대)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특수 설비 공사비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수십억 원 (수랭 배관 필수)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없음 (일반 공랭 전산실)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097A7"/>
                <w:sz w:val="15"/>
              </w:rPr>
              <w:t>없음 (일반 공랭 전산실 즉시 구축)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3개년 S/W 라이선스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NVAIE 기본 포함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RHOAI 4노드분 (상대적 고비용)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5"/>
              </w:rPr>
              <w:t>RHOAI 1~2노드분 + Matrix (약 40% 절감)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3개년 전력 및 상면비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약 4.5억 ~ 6억 원 (150kW)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약 2.5억 ~ 3.5억 원 (서버 4대)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097A7"/>
                <w:sz w:val="15"/>
              </w:rPr>
              <w:t>약 1.5억 ~ 2억 원 (60kW, 40% 절감)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3개년 총 TCO 합계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50억 원 이상 (특수 연구소)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약 16억 ~ 19억 원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097A7"/>
                <w:sz w:val="15"/>
              </w:rPr>
              <w:t>약 10억 ~ 12억 원 (약 35~40% 절감)</w:t>
            </w:r>
          </w:p>
        </w:tc>
      </w:tr>
    </w:tbl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1"/>
        </w:rPr>
        <w:t>■ 3. 신규 비즈니스 인력/조직 셋업 비용 및 BEP(손익분기점) 시뮬레이션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비즈니스 셋업 &amp; 수익 항목</w:t>
            </w:r>
          </w:p>
        </w:tc>
        <w:tc>
          <w:tcPr>
            <w:tcW w:type="dxa" w:w="4535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비용 및 시장 현실 산정 근거</w:t>
            </w:r>
          </w:p>
        </w:tc>
        <w:tc>
          <w:tcPr>
            <w:tcW w:type="dxa" w:w="255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6"/>
              </w:rPr>
              <w:t>연간 재무 영향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전담 조직 셋업 비용</w:t>
              <w:br/>
              <w:t>(5인 전담팀 구성)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• 세일즈/프리세일즈 2명 + 전문 CDI 엔지니어 2명 + PM 1명</w:t>
              <w:br/>
              <w:t>• 교육 및 데모 랩 운영비 포함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연간 고정비 약 7억 ~ 9억 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건당 사업 순마진</w:t>
              <w:br/>
              <w:t>(Unit Margin)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• Liqid S/W 라이선스 마진 + 아키텍처 SI 용역비</w:t>
              <w:br/>
              <w:t>• 건당 평균 마진 약 3,000만 ~ 5,000만 원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건당 순마진 약 4,000만 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국내 시장 수주 현실</w:t>
              <w:br/>
              <w:t>(Annual Pipeline)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• 국내 엔터프라이즈 CDI 시장은 초기 니치 단계</w:t>
              <w:br/>
              <w:t>• 1차년도 예상 수주: 연간 1 ~ 2건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5"/>
              </w:rPr>
              <w:t>1차년도 이익 약 6,000만 ~ 1억 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5"/>
              </w:rPr>
              <w:t>예상 BEP 도달 기간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5"/>
              </w:rPr>
              <w:t>연간 고정비(8억) 회수를 위해 연간 20건 이상 수주 필요</w:t>
              <w:br/>
              <w:t>➔ 단기간 내 달성 불가능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CC0000"/>
                <w:sz w:val="15"/>
              </w:rPr>
              <w:t>최소 2.5년 ~ 3년 소요</w:t>
              <w:br/>
              <w:t>(1년 내 달성 불가 ➔ 부정적)</w:t>
            </w:r>
          </w:p>
        </w:tc>
      </w:tr>
    </w:tbl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• 200여 가지 ISV 파트너 재평가 기준 적용: 경쟁력, 시장 성장성, 매출 기여도를 기준으로 200여 개 파트너십을 엄격히 정예화했듯이, 기술적으로 문제가 없더라도 BEP가 1년 단위 이상 소요(2.5~3년)되는 신규 솔루션은 비즈니스 편입에 대해 부정적으로 평가합니다.</w:t>
        <w:br/>
        <w:t>• 현재 상태 규정: 현재 Liqid는 '단순 기술적 검토(Technical Exploration)' 단계로 동결하며, 신규 전담 조직 셋업이나 공식 솔루션 추가는 전면 보류합니다.</w:t>
      </w:r>
    </w:p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[7] </w:t>
      </w:r>
      <w:r>
        <w:rPr>
          <w:rFonts w:ascii="Malgun Gothic" w:hAnsi="Malgun Gothic"/>
          <w:b/>
          <w:color w:val="0F172A"/>
          <w:sz w:val="26"/>
        </w:rPr>
        <w:t>MZC AI Full Stack 합류 및 Private Cloud 총판 사업 타당성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프레임워크 파편화 방지, 분기 100억 총판 허들 및 H/W 직접 핸들링 검토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1"/>
        </w:rPr>
        <w:t>■ 1. 솔루션 프레임워크 파편화 방지 및 공식 편입 부정적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• 프레임워크 파편화 방지: 기술적으로 가능하다고 무분별하게 신규 H/W를 추가할 경우, 솔루션 프레임워크가 파편화되고 사후 지원 부담이 가중되므로 공식 편입을 지양합니다.</w:t>
        <w:br/>
        <w:t>• 분기 100억 원 총판 허들 미달: MZC 총판 비즈니스 편입 기준(분기 100억 원 이상)에 크게 미달하며, BEP 도달 기간이 1년 이상 소요되므로 총판 사업 편입은 불가합니다.</w:t>
        <w:br/>
        <w:t>• 하드웨어 직접 핸들링 배제: MZC가 H/W 수입·재고·AS를 직접 담당하는 위험은 원천 차단합니다.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1"/>
        </w:rPr>
        <w:t>■ 2. Dell / NVIDIA 공인 총판 지위 활용에 집중</w:t>
      </w:r>
    </w:p>
    <w:p>
      <w:pPr>
        <w:spacing w:before="60" w:after="120" w:line="324" w:lineRule="auto"/>
      </w:pPr>
      <w:r>
        <w:rPr>
          <w:rFonts w:ascii="Malgun Gothic" w:hAnsi="Malgun Gothic"/>
          <w:color w:val="222222"/>
          <w:sz w:val="18"/>
        </w:rPr>
        <w:t>• 기존 핵심 총판 역량 레버리지: MZC가 이미 공인 총판 지위를 확보하고 있는 Dell PowerEdge 서버 및 NVIDIA GPU 표준 라인업에 모든 영업 및 엔지니어링 역량을 집중합니다.</w:t>
        <w:br/>
        <w:t>• 특수 고객 제한적 연계: 사내 기존 서버 재활용을 강력히 요구하는 특수 사이트에 한하여, 물리 섀시는 H/W 파트너가 납품하고 MZC는 S/W SI로만 선별 대응합니다.</w:t>
      </w:r>
    </w:p>
    <w:p>
      <w:pPr>
        <w:keepNext/>
        <w:spacing w:before="400" w:after="80"/>
      </w:pPr>
      <w:r>
        <w:rPr>
          <w:rFonts w:ascii="Malgun Gothic" w:hAnsi="Malgun Gothic"/>
          <w:b/>
          <w:color w:val="0097A7"/>
          <w:sz w:val="26"/>
        </w:rPr>
        <w:t xml:space="preserve">[8] </w:t>
      </w:r>
      <w:r>
        <w:rPr>
          <w:rFonts w:ascii="Malgun Gothic" w:hAnsi="Malgun Gothic"/>
          <w:b/>
          <w:color w:val="0F172A"/>
          <w:sz w:val="26"/>
        </w:rPr>
        <w:t>종합 결론 및 전략적 의사결정 가이드라인</w:t>
      </w:r>
    </w:p>
    <w:p>
      <w:pPr>
        <w:keepNext/>
        <w:spacing w:before="0" w:after="160"/>
      </w:pPr>
      <w:r>
        <w:rPr>
          <w:rFonts w:ascii="Malgun Gothic" w:hAnsi="Malgun Gothic"/>
          <w:i/>
          <w:color w:val="555555"/>
          <w:sz w:val="18"/>
        </w:rPr>
        <w:t>Dell/NVIDIA 총판 비즈니스 집중 및 H/W 직접 핸들링 배제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0097A7"/>
          <w:sz w:val="17"/>
        </w:rPr>
        <w:t xml:space="preserve">• 1. 현재 상태 규정: '단순 기술적 검토' 단계로 유지: </w:t>
      </w:r>
      <w:r>
        <w:rPr>
          <w:rFonts w:ascii="Malgun Gothic" w:hAnsi="Malgun Gothic"/>
          <w:color w:val="222222"/>
          <w:sz w:val="17"/>
        </w:rPr>
        <w:t>기술적 가능성은 확인하였으나, BEP 1년 초과(2.5~3년) 및 전담 조직 셋업 부담으로 인해 MZC 공식 솔루션 편입은 부정적(보류)으로 결론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0097A7"/>
          <w:sz w:val="17"/>
        </w:rPr>
        <w:t xml:space="preserve">• 2. Dell / NVIDIA 공인 총판 사업에 집중 (Core Business First): </w:t>
      </w:r>
      <w:r>
        <w:rPr>
          <w:rFonts w:ascii="Malgun Gothic" w:hAnsi="Malgun Gothic"/>
          <w:color w:val="222222"/>
          <w:sz w:val="17"/>
        </w:rPr>
        <w:t>솔루션 프레임워크 파편화를 방지하고, 메가존클라우드의 핵심 강점인 Dell PowerEdge + NVIDIA 표준 엔터프라이즈 인프라 비즈니스에 전사 역량 집중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0097A7"/>
          <w:sz w:val="17"/>
        </w:rPr>
        <w:t xml:space="preserve">• 3. H/W 직접 핸들링 배제 원칙 준수: </w:t>
      </w:r>
      <w:r>
        <w:rPr>
          <w:rFonts w:ascii="Malgun Gothic" w:hAnsi="Malgun Gothic"/>
          <w:color w:val="222222"/>
          <w:sz w:val="17"/>
        </w:rPr>
        <w:t>분기 100억 원 미달 및 재고·AS 리스크에 따라 Liqid 하드웨어 직접 총판/유통은 추진하지 않음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55555"/>
        <w:sz w:val="16"/>
      </w:rPr>
      <w:t>© 2026 MEGAZONECLOUD Corp. All Rights Reserved. | ISSU Strategic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55555"/>
        <w:sz w:val="16"/>
      </w:rPr>
      <w:t>Liqid CDI 기술 분석 &amp; MZC AI Full Stack / Private Cloud 총판 검토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