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맑은 고딕" w:hAnsi="맑은 고딕"/>
          <w:b/>
          <w:color w:val="76B900"/>
          <w:sz w:val="18"/>
        </w:rPr>
        <w:t>⚡ NVIDIA AI Factory (수직 통합)</w:t>
      </w:r>
      <w:r>
        <w:rPr>
          <w:color w:val="64748B"/>
        </w:rPr>
        <w:t xml:space="preserve">   |   </w:t>
      </w:r>
      <w:r>
        <w:rPr>
          <w:rFonts w:ascii="맑은 고딕" w:hAnsi="맑은 고딕"/>
          <w:b/>
          <w:color w:val="0071C5"/>
          <w:sz w:val="18"/>
        </w:rPr>
        <w:t>💻 Dell AI Factory (턴키 패키지)</w:t>
      </w:r>
      <w:r>
        <w:rPr>
          <w:color w:val="64748B"/>
        </w:rPr>
        <w:t xml:space="preserve">   |   </w:t>
      </w:r>
      <w:r>
        <w:rPr>
          <w:rFonts w:ascii="맑은 고딕" w:hAnsi="맑은 고딕"/>
          <w:b/>
          <w:color w:val="00ABF0"/>
          <w:sz w:val="18"/>
        </w:rPr>
        <w:t>🌐 MZC Modular 7-Layer (개방형·소버린)</w:t>
      </w:r>
    </w:p>
    <w:p>
      <w:pPr>
        <w:spacing w:before="160" w:after="120"/>
      </w:pPr>
      <w:r>
        <w:rPr>
          <w:rFonts w:ascii="맑은 고딕" w:hAnsi="맑은 고딕"/>
          <w:b/>
          <w:color w:val="0F172A"/>
          <w:sz w:val="40"/>
        </w:rPr>
        <w:t>NVIDIA AI Factory vs Dell AI Factory vs MZC 모듈형 풀스택 비교 및 엔터프라이즈 구축 가이드</w:t>
      </w:r>
    </w:p>
    <w:p>
      <w:pPr>
        <w:spacing w:before="0" w:after="280"/>
      </w:pPr>
      <w:r>
        <w:rPr>
          <w:rFonts w:ascii="맑은 고딕" w:hAnsi="맑은 고딕"/>
          <w:color w:val="64748B"/>
          <w:sz w:val="22"/>
        </w:rPr>
        <w:t>단일 벤더 종속을 탈피한 개방형·모듈형(Vendor-Agnostic) 7-Layer 아키텍처 및 4대 Phase 구축 로드맵</w:t>
      </w:r>
    </w:p>
    <w:p>
      <w:pPr>
        <w:spacing w:before="0" w:after="320"/>
      </w:pPr>
      <w:r>
        <w:rPr>
          <w:rFonts w:ascii="맑은 고딕" w:hAnsi="맑은 고딕"/>
          <w:color w:val="64748B"/>
          <w:sz w:val="17"/>
        </w:rPr>
        <w:t>• 문서 버전: v3.0 (모듈형 개방형 아키텍처 전면 개정판)</w:t>
        <w:br/>
        <w:t>• 핵심 원칙: 특정 솔루션(Nutanix, Articul8, Cohere, Acryl 등)에 종속되지 않고, 고객 요구에 최적화된 Best-of-Breed 옵션을 결합하는 개방형 프레임워크</w:t>
        <w:br/>
        <w:t>• 발행 조직: 메가존클라우드 Integrated Solution Sales Unit (ISSU) / AI Solution Architect Team</w:t>
        <w:br/>
        <w:t>• 적용 범위: 공공·금융·제조·의료 엔터프라이즈 온프레미스 AI 인프라, 망분리 소버린 AI, 하이브리드 클라우드 AI</w:t>
      </w:r>
    </w:p>
    <w:p>
      <w:pPr>
        <w:spacing w:before="0" w:after="240"/>
      </w:pPr>
      <w:r>
        <w:rPr>
          <w:color w:val="00ABF0"/>
          <w:sz w:val="16"/>
        </w:rPr>
        <w:t>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01] </w:t>
      </w:r>
      <w:r>
        <w:rPr>
          <w:rFonts w:ascii="맑은 고딕" w:hAnsi="맑은 고딕"/>
          <w:b/>
          <w:color w:val="0F172A"/>
          <w:sz w:val="30"/>
        </w:rPr>
        <w:t>2026 AI 패러다임의 전환: AI Factory vs 개방형 모듈형 AI Fullstack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단일 벤더 종속(Lock-in)을 극복하고 고객 맞춤형 Best-of-Breed 인프라를 실현하는 패러다임</w:t>
      </w:r>
    </w:p>
    <w:p>
      <w:pPr>
        <w:spacing w:after="160"/>
      </w:pPr>
      <w:r>
        <w:rPr>
          <w:rFonts w:ascii="맑은 고딕" w:hAnsi="맑은 고딕"/>
          <w:color w:val="1F242E"/>
          <w:sz w:val="19"/>
        </w:rPr>
        <w:t>2026년 기업 AI 환경은 단순한 거대 모델 학습(LLM Training)을 넘어, 기업의 원천 데이터가 24/7 지속적인 인텔리전스(토큰, 에이전틱 태스크)로 생산되는 'AI Factory(AI 공장)' 시대로 진입했습니다. 그러나 특정 단일 벤더의 수직 통합 스택이나 고정된 하드웨어 턴키 패키지만으로는 기업마다 상이한 레거시 인프라(서버/스토리지), 가상화 환경(VMware/OpenShift/Nutanix 등), 사내 보안 규제(Air-Gap 망분리), 다양한 파운데이션 모델(오픈소스/Cohere/Acryl/Upstage 등)에 유연하게 대응하기 어렵습니다.</w:t>
        <w:br/>
        <w:br/>
        <w:t>메가존클라우드의 AI 풀스택은 특정 단일 상용 소프트웨어나 벤더에 종속되지 않는 **'개방형·모듈형 7-Layer 엔터프라이즈 AI 아키텍처(Vendor-Agnostic &amp; Modular Architecture)'**를 지향합니다. 각 계층(H/W, 가상화, 데이터, 모델, 오케스트레이션, UI, 보안)마다 검증된 다양한 솔루션 옵션들을 고객의 예산과 환경에 맞춰 자유롭게 조합(Pluggable)할 수 있도록 지원합니다.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3118"/>
            <w:shd w:fill="F4FBF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76B900"/>
                <w:sz w:val="20"/>
              </w:rPr>
              <w:t>⚡ 순수 NVIDIA AI Factory</w:t>
            </w:r>
          </w:p>
        </w:tc>
        <w:tc>
          <w:tcPr>
            <w:tcW w:type="dxa" w:w="3118"/>
            <w:shd w:fill="F0F6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071C5"/>
                <w:sz w:val="20"/>
              </w:rPr>
              <w:t>💻 Dell AI Factory with NVIDIA</w:t>
            </w:r>
          </w:p>
        </w:tc>
        <w:tc>
          <w:tcPr>
            <w:tcW w:type="dxa" w:w="3118"/>
            <w:shd w:fill="F0F7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20"/>
              </w:rPr>
              <w:t>🌐 MZC Modular AI Fullstack</w:t>
            </w:r>
          </w:p>
        </w:tc>
      </w:tr>
      <w:tr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【아키텍처 성격】</w:t>
              <w:br/>
              <w:t>• 단일 벤더 수직 통합(Vertical Lock-in)</w:t>
              <w:br/>
              <w:t>• 실리콘부터 최신 모델 가속(NIM)까지 초고속 GPU 파이프라인 제공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【아키텍처 성격】</w:t>
              <w:br/>
              <w:t>• 엔터프라이즈 H/W 완제품형 턴키</w:t>
              <w:br/>
              <w:t>• PowerEdge 서버 + PowerScale 스토리지 + APEX 과금 일체화 패키지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【아키텍처 성격】</w:t>
              <w:br/>
              <w:t>• 개방형·모듈형 소버린 AI 플랫폼</w:t>
              <w:br/>
              <w:t>• 벤더 종속 없이 각 계층별 최적 솔루션(Best-of-Breed) 자유 결합</w:t>
            </w:r>
          </w:p>
        </w:tc>
      </w:tr>
      <w:tr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【주요 구성 요소】</w:t>
              <w:br/>
              <w:t>• DGX B200 / GB200 NVL72</w:t>
              <w:br/>
              <w:t>• Quantum InfiniBand / Spectrum-X</w:t>
              <w:br/>
              <w:t>• DGX OS, Run:ai, NVAIE, NIM, NeMo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【주요 구성 요소】</w:t>
              <w:br/>
              <w:t>• PowerEdge XE9680 / XE9640</w:t>
              <w:br/>
              <w:t>• PowerScale (DGX 인증 스토리지)</w:t>
              <w:br/>
              <w:t>• Dell Enterprise Hub on Hugging Face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【주요 구성 요소】</w:t>
              <w:br/>
              <w:t>• H/W: Dell, HPE, NVIDIA, Intel, NPU</w:t>
              <w:br/>
              <w:t>• 가상화: OpenShift, Nutanix, VMware</w:t>
              <w:br/>
              <w:t>• 모델: 오픈소스, Cohere, Acryl, Solar</w:t>
              <w:br/>
              <w:t>• 오케스트레이션: Articul8, Dify, LangChain</w:t>
            </w:r>
          </w:p>
        </w:tc>
      </w:tr>
      <w:tr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【주요 한계 및 특성】</w:t>
              <w:br/>
              <w:t>• 고비용 NVAIE 연간 라이선스 부담</w:t>
              <w:br/>
              <w:t>• 자체 스토리지 부재로 서드파티 필수</w:t>
              <w:br/>
              <w:t>• 대규모 초기 일시불 CaPex 중심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【주요 한계 및 특성】</w:t>
              <w:br/>
              <w:t>• 인프라 H/W 및 스토리지 패키지 중심</w:t>
              <w:br/>
              <w:t>• 사내 레거시 ERP/데이터 파이프라인 및 맞춤형 SI는 전문 파트너 협업 필요</w:t>
            </w:r>
          </w:p>
        </w:tc>
        <w:tc>
          <w:tcPr>
            <w:tcW w:type="dxa" w:w="3118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【차별화 강점】</w:t>
              <w:br/>
              <w:t>• 기존 인프라(서버/스토리지) 100% 재활용</w:t>
              <w:br/>
              <w:t>• 완전 폐쇄망(Air-Gap) 소버린 보안 충족</w:t>
              <w:br/>
              <w:t>• 도입 규모별 4대 Phase 점진적 확장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0F7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color="00ABF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00ABF0"/>
                <w:sz w:val="21"/>
              </w:rPr>
              <w:t>💡 메가존클라우드의 핵심 철학: 'Zero Lock-in, Open Modular AI Governance'</w:t>
              <w:br/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1. 메가존클라우드는 특정 단일 솔루션(Nutanix, Articul8, Cohere 등)만을 전제로 인프라를 제한하지 않습니다. 이들은 고객의 워크로드와 예산에 맞춘 '선택 가능한 제안 옵션(Pluggable Offerings)' 중 하나입니다.</w:t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2. 고객의 기존 투자 자산(Dell, HPE, VMware, OpenShift, 자체 데이터레이크 등)을 최대한 보호하면서, 필요한 계층마다 최적의 컴포넌트(NVIDIA NIM, MinIO, Redis Enterprise, 오픈소스 LLM, 상용 구축형 AI 등)를 유연하게 결합합니다.</w:t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3. 메가존클라우드는 독립적인 최상위 시스템 인티그레이터(SI)이자 클라우드 매니지드 서비스 사업자(MSP)로서, 전체 계층의 아키텍처 통합, 보안 가드레일, 운영 관제를 완벽히 책임집니다.</w:t>
            </w:r>
          </w:p>
        </w:tc>
      </w:tr>
    </w:tbl>
    <w:p>
      <w:pPr>
        <w:spacing w:before="0" w:after="120"/>
      </w:pPr>
    </w:p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02] </w:t>
      </w:r>
      <w:r>
        <w:rPr>
          <w:rFonts w:ascii="맑은 고딕" w:hAnsi="맑은 고딕"/>
          <w:b/>
          <w:color w:val="0F172A"/>
          <w:sz w:val="30"/>
        </w:rPr>
        <w:t>스택 구조 심층 해부: 엔비디아 5계층 vs MZC 모듈형 7-Layer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수직 통합 스택과 계층별 모듈형 개방 아키텍처의 상세 컴포넌트 매핑</w:t>
      </w:r>
    </w:p>
    <w:p>
      <w:pPr>
        <w:keepNext/>
        <w:spacing w:before="280" w:after="80"/>
      </w:pPr>
      <w:r>
        <w:rPr>
          <w:rFonts w:ascii="맑은 고딕" w:hAnsi="맑은 고딕"/>
          <w:b/>
          <w:color w:val="1E293B"/>
          <w:sz w:val="24"/>
        </w:rPr>
        <w:t>1. NVIDIA AI Factory 5-Tier Hierarchy (단일 벤더 가속 계층)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2154"/>
            <w:shd w:fill="EBF5D8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76B900"/>
                <w:sz w:val="19"/>
              </w:rPr>
              <w:t>계층 구분 (Tier)</w:t>
            </w:r>
          </w:p>
        </w:tc>
        <w:tc>
          <w:tcPr>
            <w:tcW w:type="dxa" w:w="3685"/>
            <w:shd w:fill="EBF5D8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76B900"/>
                <w:sz w:val="19"/>
              </w:rPr>
              <w:t>핵심 기술 및 컴포넌트</w:t>
            </w:r>
          </w:p>
        </w:tc>
        <w:tc>
          <w:tcPr>
            <w:tcW w:type="dxa" w:w="3515"/>
            <w:shd w:fill="EBF5D8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76B900"/>
                <w:sz w:val="19"/>
              </w:rPr>
              <w:t>역할 및 비즈니스 가치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Tier 5</w:t>
              <w:br/>
              <w:t>Applications &amp; Agents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NVIDIA AI Blueprints</w:t>
              <w:br/>
              <w:t>• Omniverse (제조/디지털트윈)</w:t>
              <w:br/>
              <w:t>• Isaac (로보틱스) / Clara (의료)</w:t>
            </w:r>
          </w:p>
        </w:tc>
        <w:tc>
          <w:tcPr>
            <w:tcW w:type="dxa" w:w="351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엔터프라이즈 RAG, 시각화, 도메인별 사전 훈련된 산업 청사진 제공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Tier 4</w:t>
              <w:br/>
              <w:t>AI Engine &amp; Microservices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NVIDIA NIM (추론 마이크로서비스)</w:t>
              <w:br/>
              <w:t>• NeMo Guardrails / NeMo Retriever</w:t>
              <w:br/>
              <w:t>• NeMo Curator / Customizer</w:t>
            </w:r>
          </w:p>
        </w:tc>
        <w:tc>
          <w:tcPr>
            <w:tcW w:type="dxa" w:w="351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TensorRT-LLM 기반 컨테이너화 고속 추론, 가드레일 및 검색 증강 최적화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Tier 3</w:t>
              <w:br/>
              <w:t>Platform S/W &amp; MLOps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NVIDIA AI Enterprise (NVAIE)</w:t>
              <w:br/>
              <w:t>• NVIDIA Run:ai (GPU 스케줄링)</w:t>
              <w:br/>
              <w:t>• DGX OS, Base Command, K8s Operator</w:t>
            </w:r>
          </w:p>
        </w:tc>
        <w:tc>
          <w:tcPr>
            <w:tcW w:type="dxa" w:w="351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엔터프라이즈 런타임 라이선스, GPU 동적 파티셔닝(MIG) 및 워크로드 관리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Tier 2</w:t>
              <w:br/>
              <w:t>AI Fabric &amp; Network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Quantum-2 / X800 InfiniBand</w:t>
              <w:br/>
              <w:t>• Spectrum-X Ethernet (RoCEv2)</w:t>
              <w:br/>
              <w:t>• BlueField-3 DPU, NVLink (1.8TB/s)</w:t>
            </w:r>
          </w:p>
        </w:tc>
        <w:tc>
          <w:tcPr>
            <w:tcW w:type="dxa" w:w="351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초저지연 무손실 패브릭, In-Network Computing(SHARP), GPU-to-GPU 고속 통신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Tier 1</w:t>
              <w:br/>
              <w:t>Accelerated Compute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DGX B200 / GB200 NVL72 (수랭식)</w:t>
              <w:br/>
              <w:t>• HGX H100 / H200, Grace Hopper</w:t>
              <w:br/>
              <w:t>• GPUDirect Storage (GDS)</w:t>
            </w:r>
          </w:p>
        </w:tc>
        <w:tc>
          <w:tcPr>
            <w:tcW w:type="dxa" w:w="351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Blackwell 아키텍처 기반 초대용량 고밀도 연산 처리 및 초고속 NVMe I/O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맑은 고딕" w:hAnsi="맑은 고딕"/>
          <w:b/>
          <w:color w:val="1E293B"/>
          <w:sz w:val="24"/>
        </w:rPr>
        <w:t>2. MZC Modular 7-Layer Architecture (계층별 선택형 생태계 옵션)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2154"/>
            <w:shd w:fill="E0F2F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계층 구분 (Layer)</w:t>
            </w:r>
          </w:p>
        </w:tc>
        <w:tc>
          <w:tcPr>
            <w:tcW w:type="dxa" w:w="3288"/>
            <w:shd w:fill="E0F2F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표준 기능 및 모듈 역할</w:t>
            </w:r>
          </w:p>
        </w:tc>
        <w:tc>
          <w:tcPr>
            <w:tcW w:type="dxa" w:w="3912"/>
            <w:shd w:fill="E0F2F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0ABF0"/>
                <w:sz w:val="19"/>
              </w:rPr>
              <w:t>선택 가능한 주요 솔루션 옵션 (Pluggable Options)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7</w:t>
              <w:br/>
              <w:t>Application &amp; UI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현업 업무용 UI 및 기간계 연동</w:t>
              <w:br/>
              <w:t>• 엔터프라이즈 AI 챗봇 / 검색 포털</w:t>
              <w:br/>
              <w:t>• 사내 코딩 에이전트 (IDE/CLI)</w:t>
              <w:br/>
              <w:t>• ERP / CRM / 그룹웨어 / AICC 결합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메가존 사내 챗봇 UI 템플릿</w:t>
              <w:br/>
              <w:t>• 코딩 에이전트 (MCP / Continue.dev)</w:t>
              <w:br/>
              <w:t>• 엔터프라이즈 기간계(SAP/Oracle) 실시간 연동</w:t>
              <w:br/>
              <w:t>• 고객사 사내 레거시 포털 커스텀 SI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6</w:t>
              <w:br/>
              <w:t>Orchestration &amp; Agentic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지능형 모델 오케스트레이션 및 API 게이트웨이</w:t>
              <w:br/>
              <w:t>• 멀티 모델 지능형 라우팅</w:t>
              <w:br/>
              <w:t>• 엔터프라이즈 RAG 파이프라인</w:t>
              <w:br/>
              <w:t>• 에이전틱 워크플로우 제어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[옵션 1] Articul8 Model Mesh Orchestrator</w:t>
              <w:br/>
              <w:t>• [옵션 2] 오픈소스 LangChain / LlamaIndex / Dify</w:t>
              <w:br/>
              <w:t>• [옵션 3] 사내 보안 API Gateway &amp; 커스텀 라우터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5</w:t>
              <w:br/>
              <w:t>Foundation Models &amp; SLM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사내 구축형 소버린 파운데이션 모델</w:t>
              <w:br/>
              <w:t>• 보안 데이터 외부 유출 없는 온프레미스 구동</w:t>
              <w:br/>
              <w:t>• 산업 도메인 특화 파인튜닝 (LoRA/QLoRA)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[오픈소스] Llama 3.3, Mistral, Qwen 2.5, DeepSeek</w:t>
              <w:br/>
              <w:t>• [구축형 상용] Cohere (Command R+ / Embed / Rerank)</w:t>
              <w:br/>
              <w:t>• [하이브리드] 사내 sLLM + 외부 클라우드 LLM 연계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4</w:t>
              <w:br/>
              <w:t>AI Serving &amp; MLOps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고속 추론 서빙 및 MLOps 라이프사이클</w:t>
              <w:br/>
              <w:t>• 실시간 토큰 생성 가속</w:t>
              <w:br/>
              <w:t>• 모델 모니터링, 버전 관리 및 리소스 제어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[추론 엔진] vLLM, NVIDIA NIM, Triton, TGI</w:t>
              <w:br/>
              <w:t>• [프레임워크] PyTorch, Ray, KServe</w:t>
              <w:br/>
              <w:t>• [MLOps 관제] MLflow, Kubeflow, Prometheus, Grafana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3</w:t>
              <w:br/>
              <w:t>Data &amp; Knowledge Platform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정형/비정형 데이터 레이크 및 거버넌스</w:t>
              <w:br/>
              <w:t>• 사내 지식 베이스 벡터화</w:t>
              <w:br/>
              <w:t>• 전사 데이터 카탈로그 및 접근 제어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[데이터 플랫폼] MinIO (AI 오브젝트 스토리지), Redis Enterprise (시맨틱 캐시), Confluent (Kafka)</w:t>
              <w:br/>
              <w:t>• [Vector DB] Milvus, Qdrant, pgvector</w:t>
              <w:br/>
              <w:t>• [사내 RDBMS] Oracle, PostgreSQL, SAP HANA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2</w:t>
              <w:br/>
              <w:t>OS &amp; Virtualization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하이브리드 가상화 및 컨테이너 플랫폼</w:t>
              <w:br/>
              <w:t>• GPU 리소스 파티셔닝(MIG/vGPU)</w:t>
              <w:br/>
              <w:t>• VM 및 K8s 컨테이너 통합 운영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[옵션 1] Red Hat OpenShift / RHOAI (SNO)</w:t>
              <w:br/>
              <w:t>• [옵션 2] Nutanix NCI(무상 AHV) + Nutanix NKP</w:t>
              <w:br/>
              <w:t>• [옵션 3] 기존 VMware vSphere 환경 유지 연동</w:t>
              <w:br/>
              <w:t>• [옵션 4] Baremetal K8s / SUSE Rancher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7"/>
              </w:rPr>
              <w:t>Layer 1</w:t>
              <w:br/>
              <w:t>Compute, Storage &amp; Fabric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가속 컴퓨팅 서버 및 고성능 스토리지</w:t>
              <w:br/>
              <w:t>• 워크로드(학습 vs 추론)별 하드웨어 최적화</w:t>
              <w:br/>
              <w:t>• 고속 I/O 패브릭 구성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[서버] Dell PowerEdge, HPE ProLiant, Supermicro</w:t>
              <w:br/>
              <w:t>• [가속기] NVIDIA H100/L40S, 리벨리온, 퓨리오사AI</w:t>
              <w:br/>
              <w:t>• [스토리지] Dell PowerScale, NetApp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20" w:type="dxa"/>
              <w:right w:w="120" w:type="dxa"/>
            </w:tcMar>
            <w:shd w:fill="FEF2F2"/>
          </w:tcPr>
          <w:p>
            <w:r>
              <w:rPr>
                <w:rFonts w:ascii="맑은 고딕" w:hAnsi="맑은 고딕"/>
                <w:b/>
                <w:color w:val="EE0000"/>
                <w:sz w:val="17"/>
              </w:rPr>
              <w:t>Cross-Cutting</w:t>
              <w:br/>
              <w:t>Security &amp; Governance</w:t>
            </w:r>
          </w:p>
        </w:tc>
        <w:tc>
          <w:tcPr>
            <w:tcW w:type="dxa" w:w="3288"/>
            <w:tcMar>
              <w:top w:w="100" w:type="dxa"/>
              <w:bottom w:w="100" w:type="dxa"/>
              <w:left w:w="120" w:type="dxa"/>
              <w:right w:w="120" w:type="dxa"/>
            </w:tcMar>
            <w:shd w:fill="FEF2F2"/>
          </w:tcPr>
          <w:p>
            <w:r>
              <w:rPr>
                <w:rFonts w:ascii="맑은 고딕" w:hAnsi="맑은 고딕"/>
                <w:color w:val="1F242E"/>
                <w:sz w:val="17"/>
              </w:rPr>
              <w:t>전 계층 관통 Zero-Trust 보안 가드레일</w:t>
              <w:br/>
              <w:t>• 망분리 및 데이터 주권(Data Sovereignty)</w:t>
              <w:br/>
              <w:t>• 개인정보 보호 및 규제 감사 준수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20" w:type="dxa"/>
              <w:right w:w="120" w:type="dxa"/>
            </w:tcMar>
            <w:shd w:fill="FEF2F2"/>
          </w:tcPr>
          <w:p>
            <w:r>
              <w:rPr>
                <w:rFonts w:ascii="맑은 고딕" w:hAnsi="맑은 고딕"/>
                <w:color w:val="1F242E"/>
                <w:sz w:val="17"/>
              </w:rPr>
              <w:t>• Air-Gapped 완전 폐쇄망 오프라인 패키징</w:t>
              <w:br/>
              <w:t>• 부서/직무별 세분화된 RBAC 권한 통제</w:t>
              <w:br/>
              <w:t>• PII 개인정보 자동 비식별화 필터링</w:t>
              <w:br/>
              <w:t>• 전 과정 감사 로그 및 응답 출처 추적성(Audit)</w:t>
            </w:r>
          </w:p>
        </w:tc>
      </w:tr>
    </w:tbl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03] </w:t>
      </w:r>
      <w:r>
        <w:rPr>
          <w:rFonts w:ascii="맑은 고딕" w:hAnsi="맑은 고딕"/>
          <w:b/>
          <w:color w:val="0F172A"/>
          <w:sz w:val="30"/>
        </w:rPr>
        <w:t>Dell AI Factory with NVIDIA vs 순수 NVIDIA AI Factory 정밀 비교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엔터프라이즈 H/W 패키지와 순수 GPU 슈퍼컴의 차이, 그리고 MZC의 개방형 통합 가치</w:t>
      </w:r>
    </w:p>
    <w:p>
      <w:pPr>
        <w:spacing w:after="160"/>
      </w:pPr>
      <w:r>
        <w:rPr>
          <w:rFonts w:ascii="맑은 고딕" w:hAnsi="맑은 고딕"/>
          <w:color w:val="1F242E"/>
          <w:sz w:val="19"/>
        </w:rPr>
        <w:t>순수 NVIDIA AI Factory와 Dell AI Factory with NVIDIA는 상호 대립하는 개념이 아닌, 엔비디아의 최신 가속 엔진을 델(Dell)의 완제품형 엔터프라이즈 섀시 및 전용 스토리지(PowerScale)와 결합한 '공동 턴키(Turnkey) 생태계'입니다. 메가존클라우드는 이 인프라 위에 특정 제품에 구애받지 않고 고객의 레거시 및 소버린 요구를 충족하는 독립적인 '최상위 시스템 인티그레이터(SI)이자 아키텍처 오케스트레이터' 역할을 수행합니다.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E2E8F0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8"/>
              </w:rPr>
              <w:t>비교 항목</w:t>
            </w:r>
          </w:p>
        </w:tc>
        <w:tc>
          <w:tcPr>
            <w:tcW w:type="dxa" w:w="2551"/>
            <w:shd w:fill="E2E8F0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8"/>
              </w:rPr>
              <w:t>⚡ 순수 NVIDIA AI Factory</w:t>
            </w:r>
          </w:p>
        </w:tc>
        <w:tc>
          <w:tcPr>
            <w:tcW w:type="dxa" w:w="2608"/>
            <w:shd w:fill="E2E8F0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8"/>
              </w:rPr>
              <w:t>💻 Dell AI Factory with NVIDIA</w:t>
            </w:r>
          </w:p>
        </w:tc>
        <w:tc>
          <w:tcPr>
            <w:tcW w:type="dxa" w:w="2608"/>
            <w:shd w:fill="E2E8F0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8"/>
              </w:rPr>
              <w:t>🌐 MZC 개방형 역할 및 통합 가치</w:t>
            </w:r>
          </w:p>
        </w:tc>
      </w:tr>
      <w:t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서버 폼팩터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순수 DGX 시스템</w:t>
              <w:br/>
              <w:t>(DGX B200, GB200 NVL72)</w:t>
              <w:br/>
              <w:t>• 데이터센터 랙 일체형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Dell PowerEdge XE9680 / XE9640 (수랭식)</w:t>
              <w:br/>
              <w:t>• iDRAC 통합 서버 관리 체계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Dell, HPE 등 고객 선호 H/W 위에 최적 가상화 배포</w:t>
              <w:br/>
              <w:t>• NVIDIA GPU, 리벨리온, 퓨리오사AI 복합 구성</w:t>
            </w:r>
          </w:p>
        </w:tc>
      </w:tr>
      <w:t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스토리지 계층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자체 스토리지 없음</w:t>
              <w:br/>
              <w:t>• 서드파티 파트너(GDS 인증) 별도 소싱 필요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Dell PowerScale (세계 최초 DGX 이더넷 인증)</w:t>
              <w:br/>
              <w:t>• PowerStore 일체형 제공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사내 기존 스토리지 데이터 원본 Air-Gap 보호</w:t>
              <w:br/>
              <w:t>• MinIO / 다양한 데이터 파이프라인과 무중단 연동</w:t>
            </w:r>
          </w:p>
        </w:tc>
      </w:tr>
      <w:t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엣지 및 클라이언트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데이터센터 및 클라우드 대규모 클러스터 중심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Dell Precision AI 워크스테이션</w:t>
              <w:br/>
              <w:t>• Dell Latitude AI PC &amp; NativeEdge 엣지 관리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개발자 로컬 PC/워크스테이션부터 프라이빗 데이터센터까지 엔드투엔드 연결 구축</w:t>
            </w:r>
          </w:p>
        </w:tc>
      </w:tr>
      <w:t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AI 소프트웨어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NVAIE, NIM, NeMo, Run:ai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NVAIE / NIM 탑재</w:t>
              <w:br/>
              <w:t>• Dell Enterprise Hub on Hugging Face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NIM 및 오픈소스 추론 엔진(vLLM)을 사내 폐쇄망 오프라인 환경에 맞게 커스텀 패키징</w:t>
            </w:r>
          </w:p>
        </w:tc>
      </w:tr>
      <w:t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과금 및 조달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대규모 초기 CaPex 중심 일시불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Dell APEX (As-a-Service 사용량 과금) 지원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4대 Phase 점진적 도입 로드맵 + 클라우드 펀딩 바우처 연계 + TCO 최적화</w:t>
            </w:r>
          </w:p>
        </w:tc>
      </w:tr>
      <w:t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레거시 SI 연동</w:t>
            </w:r>
          </w:p>
        </w:tc>
        <w:tc>
          <w:tcPr>
            <w:tcW w:type="dxa" w:w="255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하드웨어 및 레퍼런스 청사진 제공 (SI 미수행)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Dell Professional Services for GenAI 지원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엔터프라이즈 ERP/기간계 연동 + 사내 시스템 결합</w:t>
              <w:br/>
              <w:t>• VMware 유지/대체(OpenShift/AHV) 맞춤형 SI</w:t>
            </w:r>
          </w:p>
        </w:tc>
      </w:tr>
    </w:tbl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04] </w:t>
      </w:r>
      <w:r>
        <w:rPr>
          <w:rFonts w:ascii="맑은 고딕" w:hAnsi="맑은 고딕"/>
          <w:b/>
          <w:color w:val="0F172A"/>
          <w:sz w:val="30"/>
        </w:rPr>
        <w:t>7대 핵심 레이어 1:1 정밀 비교 매트릭스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성능, 유연성, 보안, 거버넌스, TCO 관점에서의 종합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비교 차원 (Dimension)</w:t>
            </w:r>
          </w:p>
        </w:tc>
        <w:tc>
          <w:tcPr>
            <w:tcW w:type="dxa" w:w="2721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⚡ NVIDIA AI Factory Stack</w:t>
            </w:r>
          </w:p>
        </w:tc>
        <w:tc>
          <w:tcPr>
            <w:tcW w:type="dxa" w:w="3118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🌐 MZC Modular AI Fullstack</w:t>
            </w:r>
          </w:p>
        </w:tc>
        <w:tc>
          <w:tcPr>
            <w:tcW w:type="dxa" w:w="1701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전략적 권장 방안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1. 하드웨어 &amp; 가속기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NVIDIA 전용 실리콘 (Blackwell, H100)</w:t>
              <w:br/>
              <w:t>• 독점 생태계로 최고 성능 보장</w:t>
              <w:br/>
              <w:t>• 타사 가속기 믹스 불가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멀티 벤더 가속기 지원 (NVIDIA + 리벨리온, 퓨리오사AI)</w:t>
              <w:br/>
              <w:t>• Dell / HPE / Supermicro 유연 구성</w:t>
              <w:br/>
              <w:t>• 워크로드(학습 vs 추론)별 가성비 믹스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ABF0"/>
                <w:sz w:val="16"/>
              </w:rPr>
              <w:t>MZC 우위</w:t>
              <w:br/>
              <w:t>(비용·유연성)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2. 네트워크 &amp; 패브릭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Quantum-2 InfiniBand &amp; Spectrum-X</w:t>
              <w:br/>
              <w:t>• NVLink 1.8TB/s, BlueField-3 DPU</w:t>
              <w:br/>
              <w:t>• 초거대 분산학습 최적화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표준 400G RoCEv2 Ethernet &amp; InfiniBand</w:t>
              <w:br/>
              <w:t>• DWDM 원격 DR 복제 및 사내망 인터페이스 연동</w:t>
              <w:br/>
              <w:t>• 기존 엔터프라이즈망 재활용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76B900"/>
                <w:sz w:val="16"/>
              </w:rPr>
              <w:t>NVIDIA 우위</w:t>
              <w:br/>
              <w:t>(분산학습 성능)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3. 가상화 &amp; 오케스트레이션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DGX OS + Run:ai + Base Command</w:t>
              <w:br/>
              <w:t>• GPU 파티셔닝(MIG) 및 동적 스케줄링</w:t>
              <w:br/>
              <w:t>• 순수 AI 컨테이너 집중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Red Hat OpenShift / Nutanix AHV / VMware 선택</w:t>
              <w:br/>
              <w:t>• 고객 라이선스 정책에 맞춘 유연한 가상화 전략</w:t>
              <w:br/>
              <w:t>• VM과 K8s 컨테이너 단일 통합 운영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ABF0"/>
                <w:sz w:val="16"/>
              </w:rPr>
              <w:t>MZC 우위</w:t>
              <w:br/>
              <w:t>(환경 유연성)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4. 데이터 플랫폼 &amp; 레이크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GPUDirect Storage (GDS) &amp; NeMo Curator</w:t>
              <w:br/>
              <w:t>• RAPIDS 가속 라이브러리</w:t>
              <w:br/>
              <w:t>• GPU I/O 가속 중심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MinIO AI 스토리지, Redis Enterprise 캐시, Confluent Kafka</w:t>
              <w:br/>
              <w:t>• Milvus, Qdrant 등 유연한 Vector DB 선택</w:t>
              <w:br/>
              <w:t>• Dell PowerScale 스토리지 직접 연동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D4AF37"/>
                <w:sz w:val="16"/>
              </w:rPr>
              <w:t>융합 권장</w:t>
              <w:br/>
              <w:t>(Storage+GDS)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5. AI 모델 &amp; 서빙 런타임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NVIDIA NIM (TensorRT-LLM, Triton)</w:t>
              <w:br/>
              <w:t>• 컨테이너 기반 1-Click 자동 최적화</w:t>
              <w:br/>
              <w:t>• 독자 NeMo 생태계 중심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A8, Cohere, 오픈소스 LLM 등 다양</w:t>
              <w:br/>
              <w:t>• vLLM, NVIDIA NIM, Triton 하이브리드 탑재</w:t>
              <w:br/>
              <w:t>• 모델 교체 및 파인튜닝 자유도 확보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ABF0"/>
                <w:sz w:val="16"/>
              </w:rPr>
              <w:t>MZC 우위</w:t>
              <w:br/>
              <w:t>(모델 선택권)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6. RAG, 에이전트 &amp; UI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NeMo Framework &amp; AI Blueprints</w:t>
              <w:br/>
              <w:t>• 기술 레퍼런스 및 청사진 제공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Articul8, Dify, LangChain/LlamaIndex 선택형 결합</w:t>
              <w:br/>
              <w:t>• 사내 코딩 에이전트(MCP) + Enterprise UI</w:t>
              <w:br/>
              <w:t>• 엔터프라이즈 ERP 및 기간계 직접 커스텀 SI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ABF0"/>
                <w:sz w:val="16"/>
              </w:rPr>
              <w:t>MZC 우위</w:t>
              <w:br/>
              <w:t>(SI·비즈니스 연동)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7. 보안 &amp; 컴플라이언스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NVAIE 엔터프라이즈 패치</w:t>
              <w:br/>
              <w:t>• 클라우드/하이브리드 인증 요구</w:t>
              <w:br/>
              <w:t>• 오프라인 폐쇄망 구성 시 추가 공수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6"/>
              </w:rPr>
              <w:t>• Air-Gapped 완전 폐쇄망 아키텍처</w:t>
              <w:br/>
              <w:t>• 부서별 RBAC 접근제어 &amp; PII 자동 마스킹</w:t>
              <w:br/>
              <w:t>• 감사 로그 및 답변 출처 추적성 100%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ABF0"/>
                <w:sz w:val="16"/>
              </w:rPr>
              <w:t>MZC 우위</w:t>
              <w:br/>
              <w:t>(금융·공공 규제)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F242E"/>
                <w:sz w:val="16"/>
              </w:rPr>
              <w:t>8. 도입 방식 &amp; TCO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대규모 초기 CaPex (수십억 원 대)</w:t>
              <w:br/>
              <w:t>• GPU당 고가 NVAIE 연간 구독료</w:t>
              <w:br/>
              <w:t>• 소규모 단계적 도입 시 단위비용 상승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F242E"/>
                <w:sz w:val="16"/>
              </w:rPr>
              <w:t>• 4대 Phase 점진적 로드맵 (PoC부터 단계적 확장)</w:t>
              <w:br/>
              <w:t>• 기존 H/W 보호 및 하이브리드 버스팅</w:t>
              <w:br/>
              <w:t>• 클라우드 송환으로 TCO 40~60% 절감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0ABF0"/>
                <w:sz w:val="16"/>
              </w:rPr>
              <w:t>MZC 압도적 우위</w:t>
              <w:br/>
              <w:t>(도입 장벽 완화)</w:t>
            </w:r>
          </w:p>
        </w:tc>
      </w:tr>
    </w:tbl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05] </w:t>
      </w:r>
      <w:r>
        <w:rPr>
          <w:rFonts w:ascii="맑은 고딕" w:hAnsi="맑은 고딕"/>
          <w:b/>
          <w:color w:val="0F172A"/>
          <w:sz w:val="30"/>
        </w:rPr>
        <w:t>MZC 모듈형 융합 시너지 아키텍처 및 3대 결합 가치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고객 인프라에 맞춘 최적의 Best-of-Breed 조합과 통합 거버넌스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FFDF0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color="D4AF3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0F172A"/>
                <w:sz w:val="21"/>
              </w:rPr>
              <w:t>💡 하이브리드 모듈형 융합 아키텍처 원칙 (Modular Synergy Blueprint)</w:t>
              <w:br/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1. 멀티 추론 엔진 하이브리드 배포: NVIDIA NIM OCI 컨테이너와 오픈소스 vLLM/Triton을 고객의 컨테이너 플랫폼(OpenShift / Nutanix NKP / Vanilla K8s) 상에 병행 배포하여, 고성능 가속과 비용 효율성을 동시에 확보합니다.</w:t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2. 데이터 플랫폼 &amp; 초고속 패브릭 연계: 사내 Dell PowerScale/MinIO 데이터 스토리지와 NVIDIA GPUDirect Storage(GDS)를 직접 연계하여, 대용량 임베딩/파인튜닝 시 GPU 메모리 직접 전송을 지원합니다.</w:t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3. 멀티 모델 &amp; 지능형 라우팅: 오케스트레이션 계층에서 고객 요구에 따라 Articul8, Dify, LangChain 등을 적용하여, 단순 질의는 로컬 경량 sLLM/NPU로, 복잡한 고난도 추론은 최신 고성능 모델(NIM, Cohere 등)로 최적 라우팅합니다.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맑은 고딕" w:hAnsi="맑은 고딕"/>
          <w:b/>
          <w:color w:val="0F172A"/>
          <w:sz w:val="22"/>
        </w:rPr>
        <w:t>■ 고객이 누리는 3대 핵심 결합 가치</w:t>
      </w:r>
    </w:p>
    <w:p>
      <w:pPr>
        <w:spacing w:before="40" w:after="40"/>
        <w:ind w:left="340"/>
      </w:pPr>
      <w:r>
        <w:rPr>
          <w:rFonts w:ascii="맑은 고딕" w:hAnsi="맑은 고딕"/>
          <w:b/>
          <w:color w:val="00ABF0"/>
          <w:sz w:val="19"/>
        </w:rPr>
        <w:t xml:space="preserve">• 1. 성능 극대화 (High Performance): </w:t>
      </w:r>
      <w:r>
        <w:rPr>
          <w:rFonts w:ascii="맑은 고딕" w:hAnsi="맑은 고딕"/>
          <w:color w:val="1F242E"/>
          <w:sz w:val="19"/>
        </w:rPr>
        <w:t>엔비디아 NIM 및 최적화 엔진을 결합하여 추론 레이턴시 50% 단축 및 초당 토큰 생성량(TPS) 2배 향상</w:t>
      </w:r>
    </w:p>
    <w:p>
      <w:pPr>
        <w:spacing w:before="40" w:after="40"/>
        <w:ind w:left="340"/>
      </w:pPr>
      <w:r>
        <w:rPr>
          <w:rFonts w:ascii="맑은 고딕" w:hAnsi="맑은 고딕"/>
          <w:b/>
          <w:color w:val="00ABF0"/>
          <w:sz w:val="19"/>
        </w:rPr>
        <w:t xml:space="preserve">• 2. 완벽한 주권 및 보안 (Sovereignty &amp; Security): </w:t>
      </w:r>
      <w:r>
        <w:rPr>
          <w:rFonts w:ascii="맑은 고딕" w:hAnsi="맑은 고딕"/>
          <w:color w:val="1F242E"/>
          <w:sz w:val="19"/>
        </w:rPr>
        <w:t>Air-Gapped 완전 폐쇄망과 PII 마스킹, 모델 가중치 사내 보관으로 금융·공공 보안 규정 100% 충족</w:t>
      </w:r>
    </w:p>
    <w:p>
      <w:pPr>
        <w:spacing w:before="40" w:after="40"/>
        <w:ind w:left="340"/>
      </w:pPr>
      <w:r>
        <w:rPr>
          <w:rFonts w:ascii="맑은 고딕" w:hAnsi="맑은 고딕"/>
          <w:b/>
          <w:color w:val="00ABF0"/>
          <w:sz w:val="19"/>
        </w:rPr>
        <w:t xml:space="preserve">• 3. TCO 최적화 및 벤더 독립성 (Zero Lock-in): </w:t>
      </w:r>
      <w:r>
        <w:rPr>
          <w:rFonts w:ascii="맑은 고딕" w:hAnsi="맑은 고딕"/>
          <w:color w:val="1F242E"/>
          <w:sz w:val="19"/>
        </w:rPr>
        <w:t>기존 H/W 자산 활용, 유연한 가상화 옵션 및 단계적 확장을 통해 불필요한 라이선스 낭비를 없애고 TCO 40~60% 절감</w:t>
      </w:r>
    </w:p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06] </w:t>
      </w:r>
      <w:r>
        <w:rPr>
          <w:rFonts w:ascii="맑은 고딕" w:hAnsi="맑은 고딕"/>
          <w:b/>
          <w:color w:val="0F172A"/>
          <w:sz w:val="30"/>
        </w:rPr>
        <w:t>4대 Phase 압축 로드맵 &amp; 단계별 도입 가이드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Small Start 파일럿 검증부터 전사 AI Factory 확장까지의 안전한 전환 여정</w:t>
      </w:r>
    </w:p>
    <w:p>
      <w:pPr>
        <w:spacing w:after="160"/>
      </w:pPr>
      <w:r>
        <w:rPr>
          <w:rFonts w:ascii="맑은 고딕" w:hAnsi="맑은 고딕"/>
          <w:color w:val="1F242E"/>
          <w:sz w:val="19"/>
        </w:rPr>
        <w:t>엔터프라이즈 AI 전환의 위험을 최소화하기 위해, 고객의 의사결정 단계에 맞춘 4개의 핵심 Phase로 로드맵을 구성하였습니다. 사전 진단 및 파일럿 검증(Phase 1)부터 시작하여 코어 인프라 현대화(Phase 2), AI 플랫폼 구축(Phase 3), 전사 운영 및 확장(Phase 4)으로 단계별 확장됩니다.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Phase 구분</w:t>
            </w:r>
          </w:p>
        </w:tc>
        <w:tc>
          <w:tcPr>
            <w:tcW w:type="dxa" w:w="2154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주요 목표 및 기간</w:t>
            </w:r>
          </w:p>
        </w:tc>
        <w:tc>
          <w:tcPr>
            <w:tcW w:type="dxa" w:w="2721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핵심 활동 및 모듈 옵션</w:t>
            </w:r>
          </w:p>
        </w:tc>
        <w:tc>
          <w:tcPr>
            <w:tcW w:type="dxa" w:w="2665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주요 산출물 (Deliverables)</w:t>
            </w:r>
          </w:p>
        </w:tc>
      </w:tr>
      <w:tr>
        <w:tc>
          <w:tcPr>
            <w:tcW w:type="dxa" w:w="1814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00ABF0"/>
                <w:sz w:val="17"/>
              </w:rPr>
              <w:t>PHASE 01</w:t>
              <w:br/>
              <w:t>진단 &amp; 파일럿 검증</w:t>
            </w:r>
          </w:p>
        </w:tc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소요 기간: 2~4주</w:t>
              <w:br/>
              <w:t>• 목표: 리스크 0% 기회 검증 및 파트너 펀딩 수혜</w:t>
            </w:r>
          </w:p>
        </w:tc>
        <w:tc>
          <w:tcPr>
            <w:tcW w:type="dxa" w:w="2721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인벤토리·종속성 분석 및 TCO 사전 진단</w:t>
              <w:br/>
              <w:t>• 소규모 기술 검증(PoC / Pilot Landing Zone)</w:t>
              <w:br/>
              <w:t>• 클라우드/파트너 펀딩 프로그램 지원금 신청</w:t>
            </w:r>
          </w:p>
        </w:tc>
        <w:tc>
          <w:tcPr>
            <w:tcW w:type="dxa" w:w="2665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전환 우선순위 진단 보고서</w:t>
              <w:br/>
              <w:t>• Pilot 검증 결과서 &amp; Go/No-Go 판정</w:t>
              <w:br/>
              <w:t>• TCO 절감 및 지원금 적용 제안서</w:t>
            </w:r>
          </w:p>
        </w:tc>
      </w:tr>
      <w:tr>
        <w:tc>
          <w:tcPr>
            <w:tcW w:type="dxa" w:w="1814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7"/>
              </w:rPr>
              <w:t>PHASE 02</w:t>
              <w:br/>
              <w:t>코어 인프라 현대화</w:t>
            </w:r>
          </w:p>
        </w:tc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소요 기간: 1~3개월</w:t>
              <w:br/>
              <w:t>• 목표: 가상화 최적화, 무중단 본 이관 및 DR 체계 구축</w:t>
            </w:r>
          </w:p>
        </w:tc>
        <w:tc>
          <w:tcPr>
            <w:tcW w:type="dxa" w:w="2721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고객 맞춤 가상화(OpenShift / Nutanix / VMware) 구성</w:t>
              <w:br/>
              <w:t>• 자동화 도구 기반 무중단 데이터/VM 이관</w:t>
              <w:br/>
              <w:t>• 하이브리드 클라우드 연계 및 망분리 DR 수립</w:t>
            </w:r>
          </w:p>
        </w:tc>
        <w:tc>
          <w:tcPr>
            <w:tcW w:type="dxa" w:w="2665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무중단 마이그레이션 Runbook</w:t>
              <w:br/>
              <w:t>• 하이브리드 인프라 아키텍처 설계서</w:t>
              <w:br/>
              <w:t>• 재해복구(DR) 및 망분리 보안 정책서</w:t>
            </w:r>
          </w:p>
        </w:tc>
      </w:tr>
      <w:tr>
        <w:tc>
          <w:tcPr>
            <w:tcW w:type="dxa" w:w="1814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b/>
                <w:color w:val="76B900"/>
                <w:sz w:val="17"/>
              </w:rPr>
              <w:t>PHASE 03</w:t>
              <w:br/>
              <w:t>AI 플랫폼 구축</w:t>
            </w:r>
          </w:p>
        </w:tc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소요 기간: 1~2개월</w:t>
              <w:br/>
              <w:t>• 목표: 사내 소버린 AI 플랫폼 및 비즈니스 연동 가동</w:t>
            </w:r>
          </w:p>
        </w:tc>
        <w:tc>
          <w:tcPr>
            <w:tcW w:type="dxa" w:w="2721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GPU/NPU 가속 인프라(Dell/HPE 등) 증설</w:t>
              <w:br/>
              <w:t>• 선택형 모델(오픈소스/Cohere/Acryl 등) 및 NIM 배포</w:t>
              <w:br/>
              <w:t>• RAG 파이프라인 및 사내 코딩 에이전트 가동</w:t>
            </w:r>
          </w:p>
        </w:tc>
        <w:tc>
          <w:tcPr>
            <w:tcW w:type="dxa" w:w="2665"/>
            <w:tcMar>
              <w:top w:w="110" w:type="dxa"/>
              <w:bottom w:w="11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맑은 고딕" w:hAnsi="맑은 고딕"/>
                <w:color w:val="1F242E"/>
                <w:sz w:val="17"/>
              </w:rPr>
              <w:t>• AI 전력/인프라 상세 설계서</w:t>
              <w:br/>
              <w:t>• 사내 RAG 및 에이전틱 파이프라인 구성서</w:t>
              <w:br/>
              <w:t>• 업무 시스템(ERP/CRM) 연동 명세서</w:t>
            </w:r>
          </w:p>
        </w:tc>
      </w:tr>
      <w:tr>
        <w:tc>
          <w:tcPr>
            <w:tcW w:type="dxa" w:w="1814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b/>
                <w:color w:val="D4AF37"/>
                <w:sz w:val="17"/>
              </w:rPr>
              <w:t>PHASE 04</w:t>
              <w:br/>
              <w:t>운영 관리 &amp; 전사 확장</w:t>
            </w:r>
          </w:p>
        </w:tc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소요 기간: 지속 운영</w:t>
              <w:br/>
              <w:t>• 목표: 24x7 SLA 무장애 관제 및 전사 AI Factory 확장</w:t>
            </w:r>
          </w:p>
        </w:tc>
        <w:tc>
          <w:tcPr>
            <w:tcW w:type="dxa" w:w="2721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통합 모니터링 및 24x7 SLA 지원</w:t>
              <w:br/>
              <w:t>• 부서별 맞춤 Use Case 발굴 및 파인튜닝 지원</w:t>
              <w:br/>
              <w:t>• 전사 AI 클러스터 Scale-out 확장</w:t>
            </w:r>
          </w:p>
        </w:tc>
        <w:tc>
          <w:tcPr>
            <w:tcW w:type="dxa" w:w="2665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r>
              <w:rPr>
                <w:rFonts w:ascii="맑은 고딕" w:hAnsi="맑은 고딕"/>
                <w:color w:val="1F242E"/>
                <w:sz w:val="17"/>
              </w:rPr>
              <w:t>• 전사 통합 운영 매뉴얼 &amp; 정기 리포트</w:t>
              <w:br/>
              <w:t>• 부서별 AI 확장 제안서</w:t>
              <w:br/>
              <w:t>• 전사 AI Factory 마스터 로드맵</w:t>
            </w:r>
          </w:p>
        </w:tc>
      </w:tr>
    </w:tbl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07] </w:t>
      </w:r>
      <w:r>
        <w:rPr>
          <w:rFonts w:ascii="맑은 고딕" w:hAnsi="맑은 고딕"/>
          <w:b/>
          <w:color w:val="0F172A"/>
          <w:sz w:val="30"/>
        </w:rPr>
        <w:t>산업군별 타깃 시나리오 및 최적 모듈형 구축 방안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금융, 제조/ERP, 의료, 공공/국방, HPC, 미디어 등 6대 핵심 레퍼런스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1"/>
        </w:rPr>
        <w:t>■ 1. 백업 &amp; 데이터 주권 재해복구 (DR &amp; Air-Gap Vault)</w:t>
      </w:r>
    </w:p>
    <w:p>
      <w:pPr>
        <w:spacing w:before="0" w:after="40"/>
        <w:ind w:left="227"/>
      </w:pPr>
      <w:r>
        <w:rPr>
          <w:rFonts w:ascii="맑은 고딕" w:hAnsi="맑은 고딕"/>
          <w:b/>
          <w:color w:val="0071C5"/>
          <w:sz w:val="17"/>
        </w:rPr>
        <w:t>【추천 모듈 조합】 Veeam, Dell PowerProtect, Nutanix Sync, Air-Gap Vault</w:t>
      </w:r>
    </w:p>
    <w:p>
      <w:pPr>
        <w:spacing w:before="0" w:after="120"/>
        <w:ind w:left="227"/>
      </w:pPr>
      <w:r>
        <w:rPr>
          <w:rFonts w:ascii="맑은 고딕" w:hAnsi="맑은 고딕"/>
          <w:color w:val="1F242E"/>
          <w:sz w:val="19"/>
        </w:rPr>
        <w:t>단일 클라우드 백업을 넘어 온프레미스와 다중 클라우드 환경에서 실시간 스냅샷 및 비동기 복제를 수행하여 랜섬웨어 감염 및 재난 발생 시 데이터 손실 없이 무중단 복구를 보장합니다.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1"/>
        </w:rPr>
        <w:t>■ 2. 엔터프라이즈 ERP &amp; 사내 기간계 결합</w:t>
      </w:r>
    </w:p>
    <w:p>
      <w:pPr>
        <w:spacing w:before="0" w:after="40"/>
        <w:ind w:left="227"/>
      </w:pPr>
      <w:r>
        <w:rPr>
          <w:rFonts w:ascii="맑은 고딕" w:hAnsi="맑은 고딕"/>
          <w:b/>
          <w:color w:val="0071C5"/>
          <w:sz w:val="17"/>
        </w:rPr>
        <w:t>【추천 모듈 조합】 엔터프라이즈 ERP, HPE GreenLake, Dell APEX, 프라이빗 클라우드</w:t>
      </w:r>
    </w:p>
    <w:p>
      <w:pPr>
        <w:spacing w:before="0" w:after="120"/>
        <w:ind w:left="227"/>
      </w:pPr>
      <w:r>
        <w:rPr>
          <w:rFonts w:ascii="맑은 고딕" w:hAnsi="맑은 고딕"/>
          <w:color w:val="1F242E"/>
          <w:sz w:val="19"/>
        </w:rPr>
        <w:t>해외 퍼블릭 클라우드로 핵심 비즈니스 데이터 반출 없이 사내 프라이빗 클라우드 형태로 구축하여 데이터 주권과 컴플라이언스를 완벽히 준수합니다.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1"/>
        </w:rPr>
        <w:t>■ 3. 생명과학 &amp; 헬스케어 (PACS &amp; 바이오 연구)</w:t>
      </w:r>
    </w:p>
    <w:p>
      <w:pPr>
        <w:spacing w:before="0" w:after="40"/>
        <w:ind w:left="227"/>
      </w:pPr>
      <w:r>
        <w:rPr>
          <w:rFonts w:ascii="맑은 고딕" w:hAnsi="맑은 고딕"/>
          <w:b/>
          <w:color w:val="0071C5"/>
          <w:sz w:val="17"/>
        </w:rPr>
        <w:t>【추천 모듈 조합】 PACS 데이터 분석, 의료법 10년 보관, 사내 특화 LLM/NIM, NVIDIA Clara</w:t>
      </w:r>
    </w:p>
    <w:p>
      <w:pPr>
        <w:spacing w:before="0" w:after="120"/>
        <w:ind w:left="227"/>
      </w:pPr>
      <w:r>
        <w:rPr>
          <w:rFonts w:ascii="맑은 고딕" w:hAnsi="맑은 고딕"/>
          <w:color w:val="1F242E"/>
          <w:sz w:val="19"/>
        </w:rPr>
        <w:t>임상실험, 게놈연구, 암 연구를 위한 대외비 민감 정보를 사내에 격리 보관하고 의료정보 법적 10년 이상 장기보관 의무를 충족하며 고속 AI 분석을 수행합니다.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1"/>
        </w:rPr>
        <w:t>■ 4. 금융 이상거래 탐지 (FDS) &amp; 규제 준수 보고서</w:t>
      </w:r>
    </w:p>
    <w:p>
      <w:pPr>
        <w:spacing w:before="0" w:after="40"/>
        <w:ind w:left="227"/>
      </w:pPr>
      <w:r>
        <w:rPr>
          <w:rFonts w:ascii="맑은 고딕" w:hAnsi="맑은 고딕"/>
          <w:b/>
          <w:color w:val="0071C5"/>
          <w:sz w:val="17"/>
        </w:rPr>
        <w:t>【추천 모듈 조합】 MinIO/Redis, 사내 구축형 LLM(Cohere/Articul8), PII 자동 마스킹</w:t>
      </w:r>
    </w:p>
    <w:p>
      <w:pPr>
        <w:spacing w:before="0" w:after="120"/>
        <w:ind w:left="227"/>
      </w:pPr>
      <w:r>
        <w:rPr>
          <w:rFonts w:ascii="맑은 고딕" w:hAnsi="맑은 고딕"/>
          <w:color w:val="1F242E"/>
          <w:sz w:val="19"/>
        </w:rPr>
        <w:t>페타바이트(PB) 단위의 금융 거래 데이터에 대한 초고속 액세스와 망분리 환경 내 실시간 FDS 탐지 및 개인정보 자동 비식별화를 통해 규제 감사 보고서를 안전하게 자동 생성합니다.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1"/>
        </w:rPr>
        <w:t>■ 5. HPC &amp; 온사이트 AI 추론 토큰 비용 절감</w:t>
      </w:r>
    </w:p>
    <w:p>
      <w:pPr>
        <w:spacing w:before="0" w:after="40"/>
        <w:ind w:left="227"/>
      </w:pPr>
      <w:r>
        <w:rPr>
          <w:rFonts w:ascii="맑은 고딕" w:hAnsi="맑은 고딕"/>
          <w:b/>
          <w:color w:val="0071C5"/>
          <w:sz w:val="17"/>
        </w:rPr>
        <w:t>【추천 모듈 조합】 NVIDIA NIM, vLLM, 오픈소스 LLM, 리벨리온, 퓨리오사AI</w:t>
      </w:r>
    </w:p>
    <w:p>
      <w:pPr>
        <w:spacing w:before="0" w:after="120"/>
        <w:ind w:left="227"/>
      </w:pPr>
      <w:r>
        <w:rPr>
          <w:rFonts w:ascii="맑은 고딕" w:hAnsi="맑은 고딕"/>
          <w:color w:val="1F242E"/>
          <w:sz w:val="19"/>
        </w:rPr>
        <w:t>지속적인 외부 상용 LLM API 호출에 따른 토큰 과금 폭증을 방어하기 위해 사내 온사이트 GPU/NPU 클러스터를 구성하여 장기 운영 TCO를 60% 이상 절감합니다.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1"/>
        </w:rPr>
        <w:t>■ 6. 미디어 &amp; 엔터테인먼트 렌더링 / 생성형 협업</w:t>
      </w:r>
    </w:p>
    <w:p>
      <w:pPr>
        <w:spacing w:before="0" w:after="40"/>
        <w:ind w:left="227"/>
      </w:pPr>
      <w:r>
        <w:rPr>
          <w:rFonts w:ascii="맑은 고딕" w:hAnsi="맑은 고딕"/>
          <w:b/>
          <w:color w:val="0071C5"/>
          <w:sz w:val="17"/>
        </w:rPr>
        <w:t>【추천 모듈 조합】 Cloud Bursting, Dell PowerScale, AWS 하이브리드 연계</w:t>
      </w:r>
    </w:p>
    <w:p>
      <w:pPr>
        <w:spacing w:before="0" w:after="120"/>
        <w:ind w:left="227"/>
      </w:pPr>
      <w:r>
        <w:rPr>
          <w:rFonts w:ascii="맑은 고딕" w:hAnsi="맑은 고딕"/>
          <w:color w:val="1F242E"/>
          <w:sz w:val="19"/>
        </w:rPr>
        <w:t>고화질 3D 영상 렌더링 및 생성형 AI 비디오 제작 시 로컬 스토리지의 초고속 입출력과 퍼블릭 클라우드의 탄력적인 버스팅(Cloud Bursting)을 결합합니다.</w:t>
      </w:r>
    </w:p>
    <w:p>
      <w:pPr>
        <w:keepNext/>
        <w:spacing w:before="440" w:after="80"/>
      </w:pPr>
      <w:r>
        <w:rPr>
          <w:rFonts w:ascii="맑은 고딕" w:hAnsi="맑은 고딕"/>
          <w:b/>
          <w:color w:val="00ABF0"/>
          <w:sz w:val="30"/>
        </w:rPr>
        <w:t xml:space="preserve">[Section 08] </w:t>
      </w:r>
      <w:r>
        <w:rPr>
          <w:rFonts w:ascii="맑은 고딕" w:hAnsi="맑은 고딕"/>
          <w:b/>
          <w:color w:val="0F172A"/>
          <w:sz w:val="30"/>
        </w:rPr>
        <w:t>엔터프라이즈 도입 의사결정 가이드 &amp; Next Steps</w:t>
      </w:r>
    </w:p>
    <w:p>
      <w:pPr>
        <w:keepNext/>
        <w:spacing w:before="0" w:after="200"/>
      </w:pPr>
      <w:r>
        <w:rPr>
          <w:rFonts w:ascii="맑은 고딕" w:hAnsi="맑은 고딕"/>
          <w:i/>
          <w:color w:val="64748B"/>
          <w:sz w:val="19"/>
        </w:rPr>
        <w:t>고객 유형별 최적 추진 경로 및 제안 문의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4FBF0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color="76B90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76B900"/>
                <w:sz w:val="21"/>
              </w:rPr>
              <w:t>💡 고객 상황별 맞춤 추천 아키텍처 경로 (Decision Framework)</w:t>
              <w:br/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• 시나리오 A (초기 비용 최소화 &amp; 빠른 실증): Phase 1 사전 진단 및 클라우드/파트너 펀딩을 활용하여 오픈소스 LLM + vLLM 기반 2~4주 경량 PoC를 수행합니다.</w:t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• 시나리오 B (사내 보안 망분리 &amp; 최신 상용 모델 도입): Dell/HPE 온프레미스 서버 상에 Cohere (Command R+ / Embed) 또는 사내 오픈소스 sLLM 및 NVIDIA NIM을 Air-Gapped 환경으로 배포합니다.</w:t>
            </w:r>
          </w:p>
          <w:p>
            <w:pPr>
              <w:spacing w:before="40" w:after="40"/>
            </w:pPr>
            <w:r>
              <w:rPr>
                <w:rFonts w:ascii="맑은 고딕" w:hAnsi="맑은 고딕"/>
                <w:color w:val="1F242E"/>
                <w:sz w:val="19"/>
              </w:rPr>
              <w:t>• 시나리오 C (인프라 현대화 및 점진적 전환): 기존 H/W 인프라를 보호하면서 Nutanix AHV 또는 OpenShift AI를 얹어 AI 워크로드를 점진적으로 증설합니다.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맑은 고딕" w:hAnsi="맑은 고딕"/>
          <w:b/>
          <w:color w:val="0F172A"/>
          <w:sz w:val="22"/>
        </w:rPr>
        <w:t>■ 세일즈 오퍼링 및 아키텍처 컨설팅 문의</w:t>
      </w:r>
    </w:p>
    <w:p>
      <w:pPr>
        <w:spacing w:before="40" w:after="280"/>
        <w:ind w:left="227"/>
      </w:pPr>
      <w:r>
        <w:rPr>
          <w:rFonts w:ascii="맑은 고딕" w:hAnsi="맑은 고딕"/>
          <w:color w:val="64748B"/>
          <w:sz w:val="18"/>
        </w:rPr>
        <w:t>• 담당 부서: 메가존클라우드 Integrated Solution Sales Unit (ISSU) / AI 하이브리드 솔루션팀</w:t>
        <w:br/>
        <w:t>• 웹 포털: offering/index.html 및 offering/nvidia_ai_factory_vs_mzc_fullstack_comparison.html</w:t>
        <w:br/>
        <w:t>• 주요 서비스: 1:1 고객 맞춤형 아키텍처 컨설팅, 벤더 중립적 TCO 시뮬레이션, 온프레미스 AI PoC 랩 지원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64748B"/>
        <w:sz w:val="16"/>
      </w:rPr>
      <w:t>© 2026 MEGAZONECLOUD Corp. All Rights Reserved. | Vendor-Agnostic Modular AI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4748B"/>
        <w:sz w:val="16"/>
      </w:rPr>
      <w:t>MegazoneCloud Modular Enterprise AI Fullstack Offering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