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BF0"/>
          <w:sz w:val="17"/>
        </w:rPr>
        <w:t>MEGAZONECLOUD AI FULL STACK OFFERING REPORT</w:t>
      </w:r>
    </w:p>
    <w:p>
      <w:pPr>
        <w:spacing w:before="80" w:after="120"/>
      </w:pPr>
      <w:r>
        <w:rPr>
          <w:rFonts w:ascii="맑은 고딕" w:hAnsi="맑은 고딕"/>
          <w:b/>
          <w:color w:val="002B49"/>
          <w:sz w:val="36"/>
        </w:rPr>
        <w:t>퍼즐데이터 &amp; 퀀텀AI AI Full Stack 접목 Use Case 및 기술 분석 보고서</w:t>
      </w:r>
    </w:p>
    <w:p>
      <w:pPr>
        <w:spacing w:before="0" w:after="320"/>
      </w:pPr>
      <w:r>
        <w:rPr>
          <w:rFonts w:ascii="맑은 고딕" w:hAnsi="맑은 고딕"/>
          <w:color w:val="6B7280"/>
          <w:sz w:val="17"/>
        </w:rPr>
        <w:t>문서 번호: 2026-08-26_DOC_AI_FULLSTACK_PARTNERSHIP | 작성 주체: MegazoneCloud AI Full Stack TF / ISSU 팀</w:t>
      </w:r>
    </w:p>
    <w:p>
      <w:pPr>
        <w:spacing w:before="280" w:after="80"/>
      </w:pPr>
      <w:r>
        <w:rPr>
          <w:rFonts w:ascii="맑은 고딕" w:hAnsi="맑은 고딕"/>
          <w:b/>
          <w:color w:val="002B49"/>
          <w:sz w:val="28"/>
        </w:rPr>
        <w:t>1. 개요 및 전략적 배경</w:t>
      </w:r>
    </w:p>
    <w:p>
      <w:pPr>
        <w:spacing w:before="0" w:after="160"/>
      </w:pPr>
      <w:r>
        <w:rPr>
          <w:rFonts w:ascii="맑은 고딕" w:hAnsi="맑은 고딕"/>
          <w:color w:val="6B7280"/>
          <w:sz w:val="19"/>
        </w:rPr>
        <w:t>엔터프라이즈 소버린 플랫폼(Articul8) 기반 파트너 기술 융합</w:t>
      </w:r>
    </w:p>
    <w:p>
      <w:pPr>
        <w:spacing w:before="40" w:after="160"/>
      </w:pPr>
      <w:r>
        <w:rPr>
          <w:rFonts w:ascii="맑은 고딕" w:hAnsi="맑은 고딕"/>
          <w:color w:val="1F2937"/>
          <w:sz w:val="19"/>
        </w:rPr>
        <w:t>메가존클라우드의 AI Full Stack 전략은 Dell PowerEdge/NVIDIA H100 인프라(L1)와 Red Hat OpenShift AI(L2)를 바탕으로, 핵심 오케스트레이션 소버린 플랫폼인 Articul8(A8) 위에 퍼즐데이터의 프로세스 인텔리전스 및 퀀텀AI의 올인원 AICC·멀티모달 AI를 유기적으로 결합하여 차별화된 산업별 자율 실행(Autonomous) Use Case를 완성합니다.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fill="002B4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계층 (4-Layer)</w:t>
            </w:r>
          </w:p>
        </w:tc>
        <w:tc>
          <w:tcPr>
            <w:tcW w:type="dxa" w:w="3969"/>
            <w:shd w:fill="002B4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핵심 구성 솔루션</w:t>
            </w:r>
          </w:p>
        </w:tc>
        <w:tc>
          <w:tcPr>
            <w:tcW w:type="dxa" w:w="3402"/>
            <w:shd w:fill="002B4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역할 및 특징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50" w:type="dxa"/>
              <w:right w:w="150" w:type="dxa"/>
            </w:tcMar>
            <w:shd w:fill="F0F9FF"/>
          </w:tcPr>
          <w:p>
            <w:r>
              <w:rPr>
                <w:rFonts w:ascii="맑은 고딕" w:hAnsi="맑은 고딕"/>
                <w:b/>
                <w:color w:val="00ABF0"/>
                <w:sz w:val="17"/>
              </w:rPr>
              <w:t>L4: Sovereign Apps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  <w:shd w:fill="F0F9FF"/>
          </w:tcPr>
          <w:p>
            <w:r>
              <w:rPr>
                <w:rFonts w:ascii="맑은 고딕" w:hAnsi="맑은 고딕"/>
                <w:color w:val="1F2937"/>
                <w:sz w:val="17"/>
              </w:rPr>
              <w:t>• Articul8 (A8) 자율 비즈니스 엔진</w:t>
              <w:br/>
              <w:t>• [Quantum AI] SOONi 올인원 AICC / 보이스봇</w:t>
              <w:br/>
              <w:t>• [Puzzle Data] ProDiscovery 프로세스 인텔리전스</w:t>
              <w:br/>
              <w:t>• 사내 특화 경영/운영 포털 UI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50" w:type="dxa"/>
              <w:right w:w="150" w:type="dxa"/>
            </w:tcMar>
            <w:shd w:fill="F0F9FF"/>
          </w:tcPr>
          <w:p>
            <w:r>
              <w:rPr>
                <w:rFonts w:ascii="맑은 고딕" w:hAnsi="맑은 고딕"/>
                <w:color w:val="1F2937"/>
                <w:sz w:val="17"/>
              </w:rPr>
              <w:t>엔터프라이즈 소버린 도메인 앱, 통합 AICC, 프로세스 대시보드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50" w:type="dxa"/>
              <w:right w:w="150" w:type="dxa"/>
            </w:tcMar>
            <w:shd w:fill="FDF4FF"/>
          </w:tcPr>
          <w:p>
            <w:r>
              <w:rPr>
                <w:rFonts w:ascii="맑은 고딕" w:hAnsi="맑은 고딕"/>
                <w:b/>
                <w:color w:val="9D4EDD"/>
                <w:sz w:val="17"/>
              </w:rPr>
              <w:t>L3: AI Middleware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  <w:shd w:fill="FDF4FF"/>
          </w:tcPr>
          <w:p>
            <w:r>
              <w:rPr>
                <w:rFonts w:ascii="맑은 고딕" w:hAnsi="맑은 고딕"/>
                <w:color w:val="1F2937"/>
                <w:sz w:val="17"/>
              </w:rPr>
              <w:t>• MCP Server 표준 프로토콜 브로커</w:t>
              <w:br/>
              <w:t>• A8 Ingestion &amp; Reasoning 엔진</w:t>
              <w:br/>
              <w:t>• [Quantum AI] Data2Vec / GraphRAG 멀티모달</w:t>
              <w:br/>
              <w:t>• [Puzzle Data] PiDi &amp; ClickHouse 파이프라인</w:t>
              <w:br/>
              <w:t>• vLLM, LiteLLM, Redis 시맨틱 캐시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50" w:type="dxa"/>
              <w:right w:w="150" w:type="dxa"/>
            </w:tcMar>
            <w:shd w:fill="FDF4FF"/>
          </w:tcPr>
          <w:p>
            <w:r>
              <w:rPr>
                <w:rFonts w:ascii="맑은 고딕" w:hAnsi="맑은 고딕"/>
                <w:color w:val="1F2937"/>
                <w:sz w:val="17"/>
              </w:rPr>
              <w:t>지능형 에이전트 오케스트레이션, 비정형 멀티모달 처리, 초저지연 서빙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937"/>
                <w:sz w:val="17"/>
              </w:rPr>
              <w:t>L2: Platform/MLOps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7"/>
              </w:rPr>
              <w:t>• Red Hat OpenShift AI (RHOAI)</w:t>
              <w:br/>
              <w:t>• Single Node OpenShift (SNO) 에어갭</w:t>
              <w:br/>
              <w:t>• Nutanix NKP / Kubernetes 런타임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7"/>
              </w:rPr>
              <w:t>사내 폐쇄망 컨테이너 런타임, MLOps, 단일 테넌트 보안 격리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1F2937"/>
                <w:sz w:val="17"/>
              </w:rPr>
              <w:t>L1: Infrastructure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7"/>
              </w:rPr>
              <w:t>• Dell PowerEdge XE9680 / R760</w:t>
              <w:br/>
              <w:t>• NVIDIA H100 SXM / RTX 6000 Ada</w:t>
              <w:br/>
              <w:t>• Dell PowerScale F900 고속 스토리지</w:t>
              <w:br/>
              <w:t>• 국산 NPU (리벨리온, 퓨리오사AI)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7"/>
              </w:rPr>
              <w:t>고성능 GPU 가속 연산, 초고속 AI 스토리지, 국산 NPU 복합 구성</w:t>
            </w:r>
          </w:p>
        </w:tc>
      </w:tr>
    </w:tbl>
    <w:p>
      <w:pPr>
        <w:spacing w:before="280" w:after="80"/>
      </w:pPr>
      <w:r>
        <w:rPr>
          <w:rFonts w:ascii="맑은 고딕" w:hAnsi="맑은 고딕"/>
          <w:b/>
          <w:color w:val="002B49"/>
          <w:sz w:val="28"/>
        </w:rPr>
        <w:t>2. 퍼즐데이터 × Articul8 (A8) 연계 및 대체 3대 Use Cases</w:t>
      </w:r>
    </w:p>
    <w:p>
      <w:pPr>
        <w:spacing w:before="0" w:after="160"/>
      </w:pPr>
      <w:r>
        <w:rPr>
          <w:rFonts w:ascii="맑은 고딕" w:hAnsi="맑은 고딕"/>
          <w:color w:val="6B7280"/>
          <w:sz w:val="19"/>
        </w:rPr>
        <w:t>프로세스 탐지(Puzzle Data)와 자율 실행(Articul8)의 결합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1-1. A8 Autonomous Supply Chain &amp; ERP Process Optimization (제조 SCM 자율 최적화): </w:t>
      </w:r>
      <w:r>
        <w:rPr>
          <w:rFonts w:ascii="맑은 고딕" w:hAnsi="맑은 고딕"/>
          <w:color w:val="1F2937"/>
          <w:sz w:val="18"/>
        </w:rPr>
        <w:t>ERP/MES 전 공정 로그에서 원부자재 지연 위험을 감지하고, A8 Multi-Agent가 BOM 및 협력사 재고를 크로스체크하여 대체 생산 스케줄 수립 및 구매 발주 수정안을 자율 등록. (조치 리드타임 3일 ➔ 5분 단축, 공장 라인 정지 손실 제로화)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1-2. A8 Process-Aware Financial Compliance &amp; Forensic AML (금융 이상거래·AML 자율 감사): </w:t>
      </w:r>
      <w:r>
        <w:rPr>
          <w:rFonts w:ascii="맑은 고딕" w:hAnsi="맑은 고딕"/>
          <w:color w:val="1F2937"/>
          <w:sz w:val="18"/>
        </w:rPr>
        <w:t>코어뱅킹 계좌 간 다단계 쪼개기 송금 및 비정상 승인 우회 경로를 실시간 시퀀스 그래프로 탐지하고, A8 온프레미스 에어갭 LLM이 금융감독원 제출용 의심거래보고서(STR) 초안 및 감사 브리프를 100% 자동 생성. (감사 소명 공수 85% 절감)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1-3. A8 Self-Healing Enterprise ITOM &amp; Incident Remediation (엔터프라이즈 IT 자율 치유): </w:t>
      </w:r>
      <w:r>
        <w:rPr>
          <w:rFonts w:ascii="맑은 고딕" w:hAnsi="맑은 고딕"/>
          <w:color w:val="1F2937"/>
          <w:sz w:val="18"/>
        </w:rPr>
        <w:t>ServiceNow/Jira 및 APM 로그의 프로세스 흐름 병목을 감지하고, 최근 Git 배포 커밋과 매핑하여 근본 원인(RCA)을 규명한 후 사전 승인된 CI/CD 롤백 및 우회 라우팅을 A8이 자율 실행. (MTTR 70% 단축)</w:t>
      </w:r>
    </w:p>
    <w:p>
      <w:pPr>
        <w:spacing w:before="280" w:after="80"/>
      </w:pPr>
      <w:r>
        <w:rPr>
          <w:rFonts w:ascii="맑은 고딕" w:hAnsi="맑은 고딕"/>
          <w:b/>
          <w:color w:val="002B49"/>
          <w:sz w:val="28"/>
        </w:rPr>
        <w:t>3. 퀀텀AI (SOONi &amp; Data2Vec) 3대 엔터프라이즈 Use Cases</w:t>
      </w:r>
    </w:p>
    <w:p>
      <w:pPr>
        <w:spacing w:before="0" w:after="160"/>
      </w:pPr>
      <w:r>
        <w:rPr>
          <w:rFonts w:ascii="맑은 고딕" w:hAnsi="맑은 고딕"/>
          <w:color w:val="6B7280"/>
          <w:sz w:val="19"/>
        </w:rPr>
        <w:t>초저지연 음성인식(98%+) 및 올인원 Infra-Free AICC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2-1. 금융권 에어갭(Air-gapped) 풀스택 AICC &amp; 심사 자동화: </w:t>
      </w:r>
      <w:r>
        <w:rPr>
          <w:rFonts w:ascii="맑은 고딕" w:hAnsi="맑은 고딕"/>
          <w:color w:val="1F2937"/>
          <w:sz w:val="18"/>
        </w:rPr>
        <w:t>MZC Dell/NVIDIA 에어갭 인프라 위에 SOONi를 탑재하여 망분리 규제를 준수하고, 목소리 인증(5초) 기반 단순 업무 60% 무인 처리 및 IDOP(GraphRAG)를 통한 비정형 보험금/대출 심사 서류 자동화 구현. (AICC 도입비용 50% 절감, 구축기간 1~3개월 단축)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2-2. 국방/방산/특수제조: 온프레미스 음성/VLM 기반 드론 및 로봇 PLC 자율 제어: </w:t>
      </w:r>
      <w:r>
        <w:rPr>
          <w:rFonts w:ascii="맑은 고딕" w:hAnsi="맑은 고딕"/>
          <w:color w:val="1F2937"/>
          <w:sz w:val="18"/>
        </w:rPr>
        <w:t>현장 작전 서버(RTX 6000 Ada / H100)에 퀀텀AI의 초저지연 음성인식과 Llama/sLLM, VLM을 탑재하여 1초 미만 자연어 음성 명령을 드론/로봇 PLC 제어 코드(JSON)로 실시간 생성. (통신 재밍 시 에어갭 독립 작동, 현대로템 프로젝트 연계)</w:t>
      </w:r>
    </w:p>
    <w:p>
      <w:pPr>
        <w:spacing w:before="40" w:after="60"/>
        <w:ind w:left="227"/>
      </w:pPr>
      <w:r>
        <w:rPr>
          <w:rFonts w:ascii="맑은 고딕" w:hAnsi="맑은 고딕"/>
          <w:b/>
          <w:color w:val="002B49"/>
          <w:sz w:val="18"/>
        </w:rPr>
        <w:t xml:space="preserve">• Use Case 2-3. 스마트 헬스케어: 병의원 행정 자동화 및 AI 환자 모니터링 해피콜: </w:t>
      </w:r>
      <w:r>
        <w:rPr>
          <w:rFonts w:ascii="맑은 고딕" w:hAnsi="맑은 고딕"/>
          <w:color w:val="1F2937"/>
          <w:sz w:val="18"/>
        </w:rPr>
        <w:t>24/7 진료/검사 예약을 보이스봇이 무인 처리하고, 퇴원 환자 및 만성질환자 대상 정기 해피콜을 자율 수행하여 복약 상태와 통증 수치를 EMR에 자동 기록. (상담사 만족도 45% 상승, No-Show율 획기적 감축)</w:t>
      </w:r>
    </w:p>
    <w:p>
      <w:pPr>
        <w:spacing w:before="280" w:after="80"/>
      </w:pPr>
      <w:r>
        <w:rPr>
          <w:rFonts w:ascii="맑은 고딕" w:hAnsi="맑은 고딕"/>
          <w:b/>
          <w:color w:val="002B49"/>
          <w:sz w:val="28"/>
        </w:rPr>
        <w:t>4. [부록] 각 솔루션별 심층 기술적 장단점 평가 매트릭스</w:t>
      </w:r>
    </w:p>
    <w:p>
      <w:pPr>
        <w:spacing w:before="0" w:after="160"/>
      </w:pPr>
      <w:r>
        <w:rPr>
          <w:rFonts w:ascii="맑은 고딕" w:hAnsi="맑은 고딕"/>
          <w:color w:val="6B7280"/>
          <w:sz w:val="19"/>
        </w:rPr>
        <w:t>아키텍처, 성능, 데이터 연동, 온프레미스 에어갭 관점 평가</w:t>
      </w:r>
    </w:p>
    <w:p>
      <w:pPr>
        <w:spacing w:before="80" w:after="80"/>
      </w:pPr>
      <w:r>
        <w:rPr>
          <w:rFonts w:ascii="맑은 고딕" w:hAnsi="맑은 고딕"/>
          <w:b/>
          <w:color w:val="002B49"/>
          <w:sz w:val="20"/>
        </w:rPr>
        <w:t>■ 퍼즐데이터 (ProDiscovery) vs Articul8 (A8)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구분 영역</w:t>
            </w:r>
          </w:p>
        </w:tc>
        <w:tc>
          <w:tcPr>
            <w:tcW w:type="dxa" w:w="3685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주요 기술적 강점 (Pros)</w:t>
            </w:r>
          </w:p>
        </w:tc>
        <w:tc>
          <w:tcPr>
            <w:tcW w:type="dxa" w:w="3685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한계 및 고려사항 (Cons)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아키텍처 &amp; 성능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ClickHouse 기반 대용량 로그 초고속 집계</w:t>
              <w:br/>
              <w:t>• 금융/공공 완전 폐쇄망 에어갭 동일 지원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대용량 트래픽 시 ClickHouse 분산 샤딩 및 스토리지 튜닝 인력 필요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AI &amp; 분석 기능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6"/>
              </w:rPr>
              <w:t>• PiDi 생성형 AI 도우미 (자연어 질의 대시보드 생성)</w:t>
              <w:br/>
              <w:t>• ML 기반 프로세스 지연 시뮬레이터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6"/>
              </w:rPr>
              <w:t>• 실행 Worker 부재 (모니터링 중심, 시스템 자동 변경은 A8 연동 필수)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데이터 연동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유연한 모델링 (Case ID/Activity/Timestamp 매핑)</w:t>
              <w:br/>
              <w:t>• 국내 주요 ERP(SAP, 영림원) 스키마 노하우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초기 수작업 모델링 3~4개월 소요 (A8 자동 인제스천 파이프라인으로 대체 권장)</w:t>
            </w:r>
          </w:p>
        </w:tc>
      </w:tr>
    </w:tbl>
    <w:p>
      <w:pPr>
        <w:spacing w:before="160" w:after="80"/>
      </w:pPr>
      <w:r>
        <w:rPr>
          <w:rFonts w:ascii="맑은 고딕" w:hAnsi="맑은 고딕"/>
          <w:b/>
          <w:color w:val="002B49"/>
          <w:sz w:val="20"/>
        </w:rPr>
        <w:t>■ 퀀텀AI (SOONi &amp; Data2Vec) 기술적 장단점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구분 영역</w:t>
            </w:r>
          </w:p>
        </w:tc>
        <w:tc>
          <w:tcPr>
            <w:tcW w:type="dxa" w:w="3685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주요 기술적 강점 (Pros)</w:t>
            </w:r>
          </w:p>
        </w:tc>
        <w:tc>
          <w:tcPr>
            <w:tcW w:type="dxa" w:w="3685"/>
            <w:shd w:fill="002B4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한계 및 고려사항 (Cons)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시스템 구조 &amp; 도입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Infra-Free 올인원 (CTI/PBX/IVR/STT/KMS 내장)</w:t>
              <w:br/>
              <w:t>• 착신 전환 1~3개월 도입 (구축비 50%↓)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대형 하드웨어 PBX 기구축 고객은 소프트웨어 PBX 전환 시 설득 필요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AI 원천 기술력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6"/>
              </w:rPr>
              <w:t>• 초저지연 음성인식 (STT 98%+, 지연 1초 미만)</w:t>
              <w:br/>
              <w:t>• Data2Vec 및 GraphRAG 결합 환각 제로화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color w:val="1F2937"/>
                <w:sz w:val="16"/>
              </w:rPr>
              <w:t>• 오픈 도메인 복합 추론 시 파인튜닝 데이터셋 품질 의존도 존재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937"/>
                <w:sz w:val="16"/>
              </w:rPr>
              <w:t>온프레미스 &amp; 운영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완전 폐쇄망 지원 (국방/금융 규제 완벽 대응)</w:t>
              <w:br/>
              <w:t>• 1:N 상담 효율화 (상담사 1인이 동시 5명 응대)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맑은 고딕" w:hAnsi="맑은 고딕"/>
                <w:color w:val="1F2937"/>
                <w:sz w:val="16"/>
              </w:rPr>
              <w:t>• 글로벌 플랫폼(Articul8) 대비 자동화된 배포 거버넌스 관리 도구 보완 필요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