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
      <w:r>
        <w:t>AKAMAI &amp; NVIDIA &amp; MZC HYBRID PROJECT</w:t>
      </w:r>
      <w:r/>
    </w:p>
    <w:p>
      <w:pPr>
        <w:pStyle w:val="Heading1"/>
      </w:pPr>
      <w:r>
        <w:t>공동 GPUaaS 타당성 재무 시뮬레이션 대시보드</w:t>
      </w:r>
      <w:r/>
    </w:p>
    <w:p>
      <w:r/>
      <w:r>
        <w:t>MZC 자산 매입 &amp; 위탁 운영/영업 수수료 쉐어형 비즈니스 모델 정량 분석</w:t>
      </w:r>
      <w:r/>
      <w:r/>
      <w:r/>
      <w:r/>
      <w:r/>
      <w:r>
        <w:t>초기 투자비 (CapEx)</w:t>
      </w:r>
      <w:r/>
      <w:r>
        <w:t>110억 원</w:t>
      </w:r>
      <w:r/>
      <w:r>
        <w:t>아카마이 전액 부담 (H100 HGX 16대 &amp; L40S 32대)</w:t>
      </w:r>
      <w:r/>
      <w:r/>
      <w:r/>
      <w:r>
        <w:t>영업이익 흑자 BEP 가동률</w:t>
      </w:r>
      <w:r/>
      <w:r>
        <w:t>75.54%</w:t>
      </w:r>
      <w:r/>
      <w:r>
        <w:t>감가상각비(연 22억 원) 반영 회계적 흑자 기준</w:t>
      </w:r>
      <w:r/>
      <w:r/>
      <w:r/>
      <w:r>
        <w:t>현금흐름(EBITDA) BEP 가동률</w:t>
      </w:r>
      <w:r/>
      <w:r>
        <w:t>23.93%</w:t>
      </w:r>
      <w:r/>
      <w:r>
        <w:t>순수 월 고정비 충당 및 현금 누출 방지 기준</w:t>
      </w:r>
      <w:r/>
      <w:r/>
      <w:r/>
      <w:r>
        <w:t>투자금 회수 기간 (ROI)</w:t>
      </w:r>
      <w:r/>
      <w:r>
        <w:t>약 4.6년</w:t>
      </w:r>
      <w:r/>
      <w:r>
        <w:t>평균 가동률 80% 달성 시 (EBITDA 23.9억/연)</w:t>
      </w:r>
      <w:r/>
      <w:r/>
      <w:r/>
      <w:r/>
      <w:r/>
      <w:r/>
    </w:p>
    <w:p>
      <w:pPr>
        <w:pStyle w:val="Heading2"/>
      </w:pPr>
      <w:r>
        <w:t>가동률별 연간 상세 손익 시뮬레이션 (단위: 만원)</w:t>
      </w:r>
      <w: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가동률</w:t>
            </w:r>
          </w:p>
        </w:tc>
        <w:tc>
          <w:tcPr>
            <w:tcW w:type="dxa" w:w="1234"/>
          </w:tcPr>
          <w:p>
            <w:r>
              <w:rPr>
                <w:b/>
              </w:rPr>
              <w:t>연간 총매출</w:t>
            </w:r>
          </w:p>
        </w:tc>
        <w:tc>
          <w:tcPr>
            <w:tcW w:type="dxa" w:w="1234"/>
          </w:tcPr>
          <w:p>
            <w:r>
              <w:rPr>
                <w:b/>
              </w:rPr>
              <w:t>MZC 수수료 (20%)</w:t>
            </w:r>
          </w:p>
        </w:tc>
        <w:tc>
          <w:tcPr>
            <w:tcW w:type="dxa" w:w="1234"/>
          </w:tcPr>
          <w:p>
            <w:r>
              <w:rPr>
                <w:b/>
              </w:rPr>
              <w:t>현금성 OpEx</w:t>
            </w:r>
          </w:p>
        </w:tc>
        <w:tc>
          <w:tcPr>
            <w:tcW w:type="dxa" w:w="1234"/>
          </w:tcPr>
          <w:p>
            <w:r>
              <w:rPr>
                <w:b/>
              </w:rPr>
              <w:t>연간 감가상각</w:t>
            </w:r>
          </w:p>
        </w:tc>
        <w:tc>
          <w:tcPr>
            <w:tcW w:type="dxa" w:w="1234"/>
          </w:tcPr>
          <w:p>
            <w:r>
              <w:rPr>
                <w:b/>
              </w:rPr>
              <w:t>영업이익 (상각후)</w:t>
            </w:r>
          </w:p>
        </w:tc>
        <w:tc>
          <w:tcPr>
            <w:tcW w:type="dxa" w:w="1234"/>
          </w:tcPr>
          <w:p>
            <w:r>
              <w:rPr>
                <w:b/>
              </w:rPr>
              <w:t>EBITDA (현금흐름)</w:t>
            </w:r>
          </w:p>
        </w:tc>
      </w:tr>
      <w:tr>
        <w:tc>
          <w:tcPr>
            <w:tcW w:type="dxa" w:w="1234"/>
          </w:tcPr>
          <w:p>
            <w:r>
              <w:t>10%</w:t>
            </w:r>
          </w:p>
        </w:tc>
        <w:tc>
          <w:tcPr>
            <w:tcW w:type="dxa" w:w="1234"/>
          </w:tcPr>
          <w:p>
            <w:r>
              <w:t>53,283</w:t>
            </w:r>
          </w:p>
        </w:tc>
        <w:tc>
          <w:tcPr>
            <w:tcW w:type="dxa" w:w="1234"/>
          </w:tcPr>
          <w:p>
            <w:r>
              <w:t>10,657</w:t>
            </w:r>
          </w:p>
        </w:tc>
        <w:tc>
          <w:tcPr>
            <w:tcW w:type="dxa" w:w="1234"/>
          </w:tcPr>
          <w:p>
            <w:r>
              <w:t>102,000</w:t>
            </w:r>
          </w:p>
        </w:tc>
        <w:tc>
          <w:tcPr>
            <w:tcW w:type="dxa" w:w="1234"/>
          </w:tcPr>
          <w:p>
            <w:r>
              <w:t>220,000</w:t>
            </w:r>
          </w:p>
        </w:tc>
        <w:tc>
          <w:tcPr>
            <w:tcW w:type="dxa" w:w="1234"/>
          </w:tcPr>
          <w:p>
            <w:r>
              <w:t>-279,373</w:t>
            </w:r>
          </w:p>
        </w:tc>
        <w:tc>
          <w:tcPr>
            <w:tcW w:type="dxa" w:w="1234"/>
          </w:tcPr>
          <w:p>
            <w:r>
              <w:t>-59,373</w:t>
            </w:r>
          </w:p>
        </w:tc>
      </w:tr>
      <w:tr>
        <w:tc>
          <w:tcPr>
            <w:tcW w:type="dxa" w:w="1234"/>
          </w:tcPr>
          <w:p>
            <w:r>
              <w:t>20%</w:t>
            </w:r>
          </w:p>
        </w:tc>
        <w:tc>
          <w:tcPr>
            <w:tcW w:type="dxa" w:w="1234"/>
          </w:tcPr>
          <w:p>
            <w:r>
              <w:t>106,566</w:t>
            </w:r>
          </w:p>
        </w:tc>
        <w:tc>
          <w:tcPr>
            <w:tcW w:type="dxa" w:w="1234"/>
          </w:tcPr>
          <w:p>
            <w:r>
              <w:t>21,313</w:t>
            </w:r>
          </w:p>
        </w:tc>
        <w:tc>
          <w:tcPr>
            <w:tcW w:type="dxa" w:w="1234"/>
          </w:tcPr>
          <w:p>
            <w:r>
              <w:t>102,000</w:t>
            </w:r>
          </w:p>
        </w:tc>
        <w:tc>
          <w:tcPr>
            <w:tcW w:type="dxa" w:w="1234"/>
          </w:tcPr>
          <w:p>
            <w:r>
              <w:t>220,000</w:t>
            </w:r>
          </w:p>
        </w:tc>
        <w:tc>
          <w:tcPr>
            <w:tcW w:type="dxa" w:w="1234"/>
          </w:tcPr>
          <w:p>
            <w:r>
              <w:t>-236,747</w:t>
            </w:r>
          </w:p>
        </w:tc>
        <w:tc>
          <w:tcPr>
            <w:tcW w:type="dxa" w:w="1234"/>
          </w:tcPr>
          <w:p>
            <w:r>
              <w:t>-16,747</w:t>
            </w:r>
          </w:p>
        </w:tc>
      </w:tr>
      <w:tr>
        <w:tc>
          <w:tcPr>
            <w:tcW w:type="dxa" w:w="1234"/>
          </w:tcPr>
          <w:p>
            <w:r>
              <w:t>30%</w:t>
            </w:r>
          </w:p>
        </w:tc>
        <w:tc>
          <w:tcPr>
            <w:tcW w:type="dxa" w:w="1234"/>
          </w:tcPr>
          <w:p>
            <w:r>
              <w:t>159,850</w:t>
            </w:r>
          </w:p>
        </w:tc>
        <w:tc>
          <w:tcPr>
            <w:tcW w:type="dxa" w:w="1234"/>
          </w:tcPr>
          <w:p>
            <w:r>
              <w:t>31,970</w:t>
            </w:r>
          </w:p>
        </w:tc>
        <w:tc>
          <w:tcPr>
            <w:tcW w:type="dxa" w:w="1234"/>
          </w:tcPr>
          <w:p>
            <w:r>
              <w:t>102,000</w:t>
            </w:r>
          </w:p>
        </w:tc>
        <w:tc>
          <w:tcPr>
            <w:tcW w:type="dxa" w:w="1234"/>
          </w:tcPr>
          <w:p>
            <w:r>
              <w:t>220,000</w:t>
            </w:r>
          </w:p>
        </w:tc>
        <w:tc>
          <w:tcPr>
            <w:tcW w:type="dxa" w:w="1234"/>
          </w:tcPr>
          <w:p>
            <w:r>
              <w:t>-194,120</w:t>
            </w:r>
          </w:p>
        </w:tc>
        <w:tc>
          <w:tcPr>
            <w:tcW w:type="dxa" w:w="1234"/>
          </w:tcPr>
          <w:p>
            <w:r>
              <w:t>+25,880</w:t>
            </w:r>
          </w:p>
        </w:tc>
      </w:tr>
      <w:tr>
        <w:tc>
          <w:tcPr>
            <w:tcW w:type="dxa" w:w="1234"/>
          </w:tcPr>
          <w:p>
            <w:r>
              <w:t>40%</w:t>
            </w:r>
          </w:p>
        </w:tc>
        <w:tc>
          <w:tcPr>
            <w:tcW w:type="dxa" w:w="1234"/>
          </w:tcPr>
          <w:p>
            <w:r>
              <w:t>213,133</w:t>
            </w:r>
          </w:p>
        </w:tc>
        <w:tc>
          <w:tcPr>
            <w:tcW w:type="dxa" w:w="1234"/>
          </w:tcPr>
          <w:p>
            <w:r>
              <w:t>42,627</w:t>
            </w:r>
          </w:p>
        </w:tc>
        <w:tc>
          <w:tcPr>
            <w:tcW w:type="dxa" w:w="1234"/>
          </w:tcPr>
          <w:p>
            <w:r>
              <w:t>102,000</w:t>
            </w:r>
          </w:p>
        </w:tc>
        <w:tc>
          <w:tcPr>
            <w:tcW w:type="dxa" w:w="1234"/>
          </w:tcPr>
          <w:p>
            <w:r>
              <w:t>220,000</w:t>
            </w:r>
          </w:p>
        </w:tc>
        <w:tc>
          <w:tcPr>
            <w:tcW w:type="dxa" w:w="1234"/>
          </w:tcPr>
          <w:p>
            <w:r>
              <w:t>-151,494</w:t>
            </w:r>
          </w:p>
        </w:tc>
        <w:tc>
          <w:tcPr>
            <w:tcW w:type="dxa" w:w="1234"/>
          </w:tcPr>
          <w:p>
            <w:r>
              <w:t>+68,506</w:t>
            </w:r>
          </w:p>
        </w:tc>
      </w:tr>
      <w:tr>
        <w:tc>
          <w:tcPr>
            <w:tcW w:type="dxa" w:w="1234"/>
          </w:tcPr>
          <w:p>
            <w:r>
              <w:t>50%</w:t>
            </w:r>
          </w:p>
        </w:tc>
        <w:tc>
          <w:tcPr>
            <w:tcW w:type="dxa" w:w="1234"/>
          </w:tcPr>
          <w:p>
            <w:r>
              <w:t>266,416</w:t>
            </w:r>
          </w:p>
        </w:tc>
        <w:tc>
          <w:tcPr>
            <w:tcW w:type="dxa" w:w="1234"/>
          </w:tcPr>
          <w:p>
            <w:r>
              <w:t>53,283</w:t>
            </w:r>
          </w:p>
        </w:tc>
        <w:tc>
          <w:tcPr>
            <w:tcW w:type="dxa" w:w="1234"/>
          </w:tcPr>
          <w:p>
            <w:r>
              <w:t>102,000</w:t>
            </w:r>
          </w:p>
        </w:tc>
        <w:tc>
          <w:tcPr>
            <w:tcW w:type="dxa" w:w="1234"/>
          </w:tcPr>
          <w:p>
            <w:r>
              <w:t>220,000</w:t>
            </w:r>
          </w:p>
        </w:tc>
        <w:tc>
          <w:tcPr>
            <w:tcW w:type="dxa" w:w="1234"/>
          </w:tcPr>
          <w:p>
            <w:r>
              <w:t>-108,867</w:t>
            </w:r>
          </w:p>
        </w:tc>
        <w:tc>
          <w:tcPr>
            <w:tcW w:type="dxa" w:w="1234"/>
          </w:tcPr>
          <w:p>
            <w:r>
              <w:t>+111,133</w:t>
            </w:r>
          </w:p>
        </w:tc>
      </w:tr>
      <w:tr>
        <w:tc>
          <w:tcPr>
            <w:tcW w:type="dxa" w:w="1234"/>
          </w:tcPr>
          <w:p>
            <w:r>
              <w:t>60%</w:t>
            </w:r>
          </w:p>
        </w:tc>
        <w:tc>
          <w:tcPr>
            <w:tcW w:type="dxa" w:w="1234"/>
          </w:tcPr>
          <w:p>
            <w:r>
              <w:t>319,699</w:t>
            </w:r>
          </w:p>
        </w:tc>
        <w:tc>
          <w:tcPr>
            <w:tcW w:type="dxa" w:w="1234"/>
          </w:tcPr>
          <w:p>
            <w:r>
              <w:t>63,940</w:t>
            </w:r>
          </w:p>
        </w:tc>
        <w:tc>
          <w:tcPr>
            <w:tcW w:type="dxa" w:w="1234"/>
          </w:tcPr>
          <w:p>
            <w:r>
              <w:t>102,000</w:t>
            </w:r>
          </w:p>
        </w:tc>
        <w:tc>
          <w:tcPr>
            <w:tcW w:type="dxa" w:w="1234"/>
          </w:tcPr>
          <w:p>
            <w:r>
              <w:t>220,000</w:t>
            </w:r>
          </w:p>
        </w:tc>
        <w:tc>
          <w:tcPr>
            <w:tcW w:type="dxa" w:w="1234"/>
          </w:tcPr>
          <w:p>
            <w:r>
              <w:t>-66,241</w:t>
            </w:r>
          </w:p>
        </w:tc>
        <w:tc>
          <w:tcPr>
            <w:tcW w:type="dxa" w:w="1234"/>
          </w:tcPr>
          <w:p>
            <w:r>
              <w:t>+153,759</w:t>
            </w:r>
          </w:p>
        </w:tc>
      </w:tr>
      <w:tr>
        <w:tc>
          <w:tcPr>
            <w:tcW w:type="dxa" w:w="1234"/>
          </w:tcPr>
          <w:p>
            <w:r>
              <w:t>70%</w:t>
            </w:r>
          </w:p>
        </w:tc>
        <w:tc>
          <w:tcPr>
            <w:tcW w:type="dxa" w:w="1234"/>
          </w:tcPr>
          <w:p>
            <w:r>
              <w:t>372,983</w:t>
            </w:r>
          </w:p>
        </w:tc>
        <w:tc>
          <w:tcPr>
            <w:tcW w:type="dxa" w:w="1234"/>
          </w:tcPr>
          <w:p>
            <w:r>
              <w:t>74,597</w:t>
            </w:r>
          </w:p>
        </w:tc>
        <w:tc>
          <w:tcPr>
            <w:tcW w:type="dxa" w:w="1234"/>
          </w:tcPr>
          <w:p>
            <w:r>
              <w:t>102,000</w:t>
            </w:r>
          </w:p>
        </w:tc>
        <w:tc>
          <w:tcPr>
            <w:tcW w:type="dxa" w:w="1234"/>
          </w:tcPr>
          <w:p>
            <w:r>
              <w:t>220,000</w:t>
            </w:r>
          </w:p>
        </w:tc>
        <w:tc>
          <w:tcPr>
            <w:tcW w:type="dxa" w:w="1234"/>
          </w:tcPr>
          <w:p>
            <w:r>
              <w:t>-23,614</w:t>
            </w:r>
          </w:p>
        </w:tc>
        <w:tc>
          <w:tcPr>
            <w:tcW w:type="dxa" w:w="1234"/>
          </w:tcPr>
          <w:p>
            <w:r>
              <w:t>+196,386</w:t>
            </w:r>
          </w:p>
        </w:tc>
      </w:tr>
      <w:tr>
        <w:tc>
          <w:tcPr>
            <w:tcW w:type="dxa" w:w="1234"/>
          </w:tcPr>
          <w:p>
            <w:r>
              <w:t>80%</w:t>
            </w:r>
          </w:p>
        </w:tc>
        <w:tc>
          <w:tcPr>
            <w:tcW w:type="dxa" w:w="1234"/>
          </w:tcPr>
          <w:p>
            <w:r>
              <w:t>426,266</w:t>
            </w:r>
          </w:p>
        </w:tc>
        <w:tc>
          <w:tcPr>
            <w:tcW w:type="dxa" w:w="1234"/>
          </w:tcPr>
          <w:p>
            <w:r>
              <w:t>85,253</w:t>
            </w:r>
          </w:p>
        </w:tc>
        <w:tc>
          <w:tcPr>
            <w:tcW w:type="dxa" w:w="1234"/>
          </w:tcPr>
          <w:p>
            <w:r>
              <w:t>102,000</w:t>
            </w:r>
          </w:p>
        </w:tc>
        <w:tc>
          <w:tcPr>
            <w:tcW w:type="dxa" w:w="1234"/>
          </w:tcPr>
          <w:p>
            <w:r>
              <w:t>220,000</w:t>
            </w:r>
          </w:p>
        </w:tc>
        <w:tc>
          <w:tcPr>
            <w:tcW w:type="dxa" w:w="1234"/>
          </w:tcPr>
          <w:p>
            <w:r>
              <w:t>+19,013</w:t>
            </w:r>
          </w:p>
        </w:tc>
        <w:tc>
          <w:tcPr>
            <w:tcW w:type="dxa" w:w="1234"/>
          </w:tcPr>
          <w:p>
            <w:r>
              <w:t>+239,013</w:t>
            </w:r>
          </w:p>
        </w:tc>
      </w:tr>
      <w:tr>
        <w:tc>
          <w:tcPr>
            <w:tcW w:type="dxa" w:w="1234"/>
          </w:tcPr>
          <w:p>
            <w:r>
              <w:t>90%</w:t>
            </w:r>
          </w:p>
        </w:tc>
        <w:tc>
          <w:tcPr>
            <w:tcW w:type="dxa" w:w="1234"/>
          </w:tcPr>
          <w:p>
            <w:r>
              <w:t>479,549</w:t>
            </w:r>
          </w:p>
        </w:tc>
        <w:tc>
          <w:tcPr>
            <w:tcW w:type="dxa" w:w="1234"/>
          </w:tcPr>
          <w:p>
            <w:r>
              <w:t>95,910</w:t>
            </w:r>
          </w:p>
        </w:tc>
        <w:tc>
          <w:tcPr>
            <w:tcW w:type="dxa" w:w="1234"/>
          </w:tcPr>
          <w:p>
            <w:r>
              <w:t>102,000</w:t>
            </w:r>
          </w:p>
        </w:tc>
        <w:tc>
          <w:tcPr>
            <w:tcW w:type="dxa" w:w="1234"/>
          </w:tcPr>
          <w:p>
            <w:r>
              <w:t>220,000</w:t>
            </w:r>
          </w:p>
        </w:tc>
        <w:tc>
          <w:tcPr>
            <w:tcW w:type="dxa" w:w="1234"/>
          </w:tcPr>
          <w:p>
            <w:r>
              <w:t>+61,639</w:t>
            </w:r>
          </w:p>
        </w:tc>
        <w:tc>
          <w:tcPr>
            <w:tcW w:type="dxa" w:w="1234"/>
          </w:tcPr>
          <w:p>
            <w:r>
              <w:t>+281,639</w:t>
            </w:r>
          </w:p>
        </w:tc>
      </w:tr>
      <w:tr>
        <w:tc>
          <w:tcPr>
            <w:tcW w:type="dxa" w:w="1234"/>
          </w:tcPr>
          <w:p>
            <w:r>
              <w:t>100%</w:t>
            </w:r>
          </w:p>
        </w:tc>
        <w:tc>
          <w:tcPr>
            <w:tcW w:type="dxa" w:w="1234"/>
          </w:tcPr>
          <w:p>
            <w:r>
              <w:t>532,832</w:t>
            </w:r>
          </w:p>
        </w:tc>
        <w:tc>
          <w:tcPr>
            <w:tcW w:type="dxa" w:w="1234"/>
          </w:tcPr>
          <w:p>
            <w:r>
              <w:t>106,566</w:t>
            </w:r>
          </w:p>
        </w:tc>
        <w:tc>
          <w:tcPr>
            <w:tcW w:type="dxa" w:w="1234"/>
          </w:tcPr>
          <w:p>
            <w:r>
              <w:t>102,000</w:t>
            </w:r>
          </w:p>
        </w:tc>
        <w:tc>
          <w:tcPr>
            <w:tcW w:type="dxa" w:w="1234"/>
          </w:tcPr>
          <w:p>
            <w:r>
              <w:t>220,000</w:t>
            </w:r>
          </w:p>
        </w:tc>
        <w:tc>
          <w:tcPr>
            <w:tcW w:type="dxa" w:w="1234"/>
          </w:tcPr>
          <w:p>
            <w:r>
              <w:t>+104,266</w:t>
            </w:r>
          </w:p>
        </w:tc>
        <w:tc>
          <w:tcPr>
            <w:tcW w:type="dxa" w:w="1234"/>
          </w:tcPr>
          <w:p>
            <w:r>
              <w:t>+324,266</w:t>
            </w:r>
          </w:p>
        </w:tc>
      </w:tr>
    </w:tbl>
    <w:p>
      <w:r/>
      <w:r/>
      <w:r/>
      <w:r/>
      <w:r/>
    </w:p>
    <w:p>
      <w:pPr>
        <w:pStyle w:val="Heading2"/>
      </w:pPr>
      <w:r>
        <w:t>재무 변동 분석 그래프</w:t>
      </w:r>
      <w:r/>
      <w:r/>
      <w:r/>
      <w:r/>
      <w:r/>
    </w:p>
    <w:p>
      <w:r/>
    </w:p>
    <w:p>
      <w:r>
        <w:t>&lt;image: 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&gt;</w:t>
      </w:r>
    </w:p>
    <w:p>
      <w:pPr>
        <w:jc w:val="center"/>
      </w:pPr>
      <w:r/>
      <w:r>
        <w:t>* 24% 가동 시 EBITDA 흑자 전환, 76% 가동 시 감가상각 포함 회계적 흑자 전환.</w:t>
      </w:r>
      <w:r/>
      <w:r/>
      <w:r/>
      <w:r/>
    </w:p>
    <w:p>
      <w:pPr>
        <w:pStyle w:val="Heading2"/>
      </w:pPr>
      <w:r>
        <w:t>비즈니스 파트너십 아키텍처 (MZC - AKAMAI - NVIDIA)</w:t>
      </w:r>
      <w:r/>
      <w:r/>
      <w:r/>
      <w:r>
        <w:t>1. 자산 일시 매입 (Asset Purchase)</w:t>
      </w:r>
      <w:r/>
    </w:p>
    <w:p>
      <w:r/>
      <w:r>
        <w:t>국내의 심각한 GPU 수급 제약을 우회하기 위해, MZC가 기확보했거나 수급 파이프라인을 가진 GPU 하드웨어를 아카마이가 110억 원에 일시 매입(Buyout)합니다. MZC의 유동성 부담을 제로화하는 동시에 아카마이는 대기 시간 없이 즉시 자산을 인도받습니다.</w:t>
      </w:r>
      <w:r/>
      <w:r/>
      <w:r/>
      <w:r>
        <w:t>2. 위탁 운영 및 영업 (Operations &amp; Sales Outsource)</w:t>
      </w:r>
      <w:r/>
    </w:p>
    <w:p>
      <w:r/>
      <w:r>
        <w:t>한국 코로케이션 IDC 구축 후, 아카마이는 MZC에 고정 위탁 수수료(연 3.0억)를 지급하고 가상화 및 하드웨어 물리 관리를 24/7 위임합니다. 동시에 MZC는 국내 MSP 리더십을 활용해 영업 독점권을 가지고 아카마이 노드로 고객을 유치합니다.</w:t>
      </w:r>
      <w:r/>
      <w:r/>
      <w:r/>
      <w:r>
        <w:t>3. 트래픽 비용 우위성 &amp; 매출 쉐어</w:t>
      </w:r>
      <w:r/>
    </w:p>
    <w:p>
      <w:r/>
      <w:r>
        <w:t>Akamai Connected Cloud의 초저가 Egress 비용(초과 요금 기가바이트당 $0.005, 하이퍼스케일러 대비 16배 이상 저렴)을 무기로 패키지 판촉을 전개합니다. 매출의 20%를 MZC에 매출 연동 수수료로 배분하여 영업 마진 동기를 부여합니다.</w:t>
      </w:r>
      <w:r/>
      <w:r/>
      <w:r/>
      <w:r/>
      <w:r/>
      <w:r/>
    </w:p>
    <w:p>
      <w:pPr>
        <w:pStyle w:val="Heading2"/>
      </w:pPr>
      <w:r>
        <w:t>재무적 총평 및 회장 보고용 핵심 요약</w:t>
      </w:r>
      <w:r/>
      <w:r/>
    </w:p>
    <w:p>
      <w:pPr>
        <w:pStyle w:val="ListBullet"/>
        <w:spacing w:line="240" w:lineRule="auto"/>
        <w:ind w:left="720"/>
      </w:pPr>
      <w:r/>
      <w:r>
        <w:rPr>
          <w:b/>
        </w:rPr>
        <w:t>생존 임계치 극소화</w:t>
      </w:r>
      <w:r>
        <w:t xml:space="preserve">: 감가상각비를 제외한 현금 흐름 BEP 가동률이 단 </w:t>
      </w:r>
      <w:r>
        <w:rPr>
          <w:b/>
        </w:rPr>
        <w:t>23.93%</w:t>
      </w:r>
      <w:r>
        <w:t>에 불과합니다. 국내 스타트업 및 연구소 고객 중 중소규모 3~4개사만 유치해도 월간 운영 적자 리스크가 원천 소멸됩니다.</w:t>
      </w:r>
      <w:r/>
    </w:p>
    <w:p>
      <w:pPr>
        <w:pStyle w:val="ListBullet"/>
        <w:spacing w:line="240" w:lineRule="auto"/>
        <w:ind w:left="720"/>
      </w:pPr>
      <w:r/>
      <w:r>
        <w:rPr>
          <w:b/>
        </w:rPr>
        <w:t>안정적인 투자금 회수</w:t>
      </w:r>
      <w:r>
        <w:t>: MZC의 적극적인 국내 세일즈를 바탕으로 가동률 80% 안착 시 약 4.6년, 90% 안착 시 약 3.9년의 짧은 투자금 회수 기간(EBITDA 누적 기준)을 가집니다.</w:t>
      </w:r>
      <w:r/>
    </w:p>
    <w:p>
      <w:pPr>
        <w:pStyle w:val="ListBullet"/>
        <w:spacing w:line="240" w:lineRule="auto"/>
        <w:ind w:left="720"/>
      </w:pPr>
      <w:r/>
      <w:r>
        <w:rPr>
          <w:b/>
        </w:rPr>
        <w:t>독점적 가성비 우위</w:t>
      </w:r>
      <w:r>
        <w:t>: 아카마이의 강력한 네트워크 강점(Egress $0.005/GB)과 엔비디아 NIM 최적화를 통해 3대 퍼블릭 클라우드 대비 총소유비용(TCO)을 최대 50% 절감 가능하므로 로컬 영업 경쟁력이 확고합니다.</w:t>
      </w:r>
      <w:r/>
    </w:p>
    <w:p>
      <w:pPr>
        <w:pStyle w:val="ListBullet"/>
        <w:spacing w:line="240" w:lineRule="auto"/>
        <w:ind w:left="720"/>
      </w:pPr>
      <w:r/>
      <w:r>
        <w:rPr>
          <w:b/>
        </w:rPr>
        <w:t>결론</w:t>
      </w:r>
      <w:r>
        <w:t>: MZC의 조달 파이프라인을 아카마이가 매입해 즉각 사업을 전개하고 영업/운영을 아웃소싱하는 하이브리드 모델은 신속성과 안전성, 그리고 수익성을 모두 갖춘 우수한 사업 기획안으로 판정됩니다.</w:t>
      </w:r>
      <w:r/>
      <w:r/>
      <w:r/>
      <w:r/>
      <w:r/>
    </w:p>
    <w:p>
      <w:r/>
      <w:r>
        <w:t>© 2026 AKAMAI CONNECTED CLOUD &amp; MEGAZONE CLOUD FEASIBILITY STUDY GROUP. ALL RIGHTS RESERVED.</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