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</w:pPr>
      <w:r>
        <w:rPr>
          <w:rFonts w:ascii="Malgun Gothic" w:hAnsi="Malgun Gothic"/>
          <w:b/>
          <w:color w:val="9D4EDD"/>
          <w:sz w:val="18"/>
        </w:rPr>
        <w:t>⚡ ISV TECHNOLOGY DEEP-DIVE &amp; INTEGRATION STRATEGY REPORT</w:t>
      </w:r>
    </w:p>
    <w:p>
      <w:pPr>
        <w:spacing w:before="80" w:after="120"/>
      </w:pPr>
      <w:r>
        <w:rPr>
          <w:rFonts w:ascii="Malgun Gothic" w:hAnsi="Malgun Gothic"/>
          <w:b/>
          <w:color w:val="0F172A"/>
          <w:sz w:val="34"/>
        </w:rPr>
        <w:t>Nota.ai NetsPresso 플랫폼 기술 심층 분석</w:t>
        <w:br/>
        <w:t>&amp; MZC AI Full Stack 연계 오퍼링 전략</w:t>
      </w:r>
    </w:p>
    <w:p>
      <w:pPr>
        <w:spacing w:before="0" w:after="280"/>
      </w:pPr>
      <w:r>
        <w:rPr>
          <w:rFonts w:ascii="Malgun Gothic" w:hAnsi="Malgun Gothic"/>
          <w:color w:val="555555"/>
          <w:sz w:val="19"/>
        </w:rPr>
        <w:t>하드웨어 인지 경량화·양자화(AutoRound/Mixed Precision) 기술 분석, Red Hat OpenShift AI(RHOAI)와의 기능 비교 및 상호 보완 파이프라인, 그리고 MZC AI Full Stack 3대 단독/복합 비즈니스 제안 시나리오 검토</w:t>
      </w:r>
    </w:p>
    <w:p>
      <w:pPr>
        <w:spacing w:before="20" w:after="40"/>
        <w:ind w:left="227"/>
      </w:pPr>
      <w:r>
        <w:rPr>
          <w:rFonts w:ascii="Malgun Gothic" w:hAnsi="Malgun Gothic"/>
          <w:b/>
          <w:color w:val="222222"/>
          <w:sz w:val="17"/>
        </w:rPr>
        <w:t>• 1. Nota.ai NetsPresso 플랫폼 핵심 기술 요약 (경량화, 양자화, 디바이스 팜)</w:t>
      </w:r>
    </w:p>
    <w:p>
      <w:pPr>
        <w:spacing w:before="20" w:after="40"/>
        <w:ind w:left="227"/>
      </w:pPr>
      <w:r>
        <w:rPr>
          <w:rFonts w:ascii="Malgun Gothic" w:hAnsi="Malgun Gothic"/>
          <w:b/>
          <w:color w:val="222222"/>
          <w:sz w:val="17"/>
        </w:rPr>
        <w:t>• 2. MZC AI Full Stack 편입 시 핵심 검토 및 사전 점검 과제 (Gap Analysis)</w:t>
      </w:r>
    </w:p>
    <w:p>
      <w:pPr>
        <w:spacing w:before="20" w:after="40"/>
        <w:ind w:left="227"/>
      </w:pPr>
      <w:r>
        <w:rPr>
          <w:rFonts w:ascii="Malgun Gothic" w:hAnsi="Malgun Gothic"/>
          <w:b/>
          <w:color w:val="222222"/>
          <w:sz w:val="17"/>
        </w:rPr>
        <w:t>• 3. Red Hat OpenShift AI (RHOAI)와의 기능 비교 및 상호 보완 공존 방안</w:t>
      </w:r>
    </w:p>
    <w:p>
      <w:pPr>
        <w:spacing w:before="20" w:after="40"/>
        <w:ind w:left="227"/>
      </w:pPr>
      <w:r>
        <w:rPr>
          <w:rFonts w:ascii="Malgun Gothic" w:hAnsi="Malgun Gothic"/>
          <w:b/>
          <w:color w:val="222222"/>
          <w:sz w:val="17"/>
        </w:rPr>
        <w:t>• 4. MZC AI Full Stack 내 단독/복합 솔루션 제안 시나리오 (3대 Use Case)</w:t>
      </w:r>
    </w:p>
    <w:p>
      <w:pPr>
        <w:spacing w:before="20" w:after="40"/>
        <w:ind w:left="227"/>
      </w:pPr>
      <w:r>
        <w:rPr>
          <w:rFonts w:ascii="Malgun Gothic" w:hAnsi="Malgun Gothic"/>
          <w:b/>
          <w:color w:val="222222"/>
          <w:sz w:val="17"/>
        </w:rPr>
        <w:t>• 5. 종합 결론 및 MZC 파트너십 추진 제언</w:t>
      </w:r>
    </w:p>
    <w:p>
      <w:pPr>
        <w:keepNext/>
        <w:spacing w:before="440" w:after="80"/>
      </w:pPr>
      <w:r>
        <w:rPr>
          <w:rFonts w:ascii="Malgun Gothic" w:hAnsi="Malgun Gothic"/>
          <w:b/>
          <w:color w:val="9D4EDD"/>
          <w:sz w:val="28"/>
        </w:rPr>
        <w:t xml:space="preserve">[1] </w:t>
      </w:r>
      <w:r>
        <w:rPr>
          <w:rFonts w:ascii="Malgun Gothic" w:hAnsi="Malgun Gothic"/>
          <w:b/>
          <w:color w:val="0F172A"/>
          <w:sz w:val="28"/>
        </w:rPr>
        <w:t>Nota.ai NetsPresso 플랫폼 핵심 기술 요약</w:t>
      </w:r>
    </w:p>
    <w:p>
      <w:pPr>
        <w:keepNext/>
        <w:spacing w:before="0" w:after="200"/>
      </w:pPr>
      <w:r>
        <w:rPr>
          <w:rFonts w:ascii="Malgun Gothic" w:hAnsi="Malgun Gothic"/>
          <w:i/>
          <w:color w:val="555555"/>
          <w:sz w:val="19"/>
        </w:rPr>
        <w:t>하드웨어 인지 AI 모델 최적화, 고급 양자화 및 자동 컴파일 플랫폼</w:t>
      </w:r>
    </w:p>
    <w:p>
      <w:pPr>
        <w:spacing w:before="60" w:after="160" w:line="324" w:lineRule="auto"/>
      </w:pPr>
      <w:r>
        <w:rPr>
          <w:rFonts w:ascii="Malgun Gothic" w:hAnsi="Malgun Gothic"/>
          <w:color w:val="222222"/>
          <w:sz w:val="18"/>
        </w:rPr>
        <w:t>NetsPresso(넷스프레소)는 AI 기술 기업 노타(Nota.ai)가 개발한 '하드웨어 인지 AI 모델 최적화 및 경량화 자동화 플랫폼'입니다. AI 모델을 다양한 타깃 디바이스(NVIDIA GPU, Intel CPU, ARM, NPU, 엣지 칩셋)에 배포할 때 발생하는 극심한 수작업 튜닝 병목(Manual Tuning Fatigue)을 제거하고, 모델 압축·양자화부터 타깃 칩셋 컴파일 및 실측 벤치마킹까지 전 과정을 자율화합니다.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4986"/>
        <w:gridCol w:w="4986"/>
      </w:tblGrid>
      <w:tr>
        <w:tc>
          <w:tcPr>
            <w:tcW w:type="dxa" w:w="2551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핵심 기술 영역</w:t>
            </w:r>
          </w:p>
        </w:tc>
        <w:tc>
          <w:tcPr>
            <w:tcW w:type="dxa" w:w="7087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상세 기술 내용 및 엔터프라이즈 차별점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9D4EDD"/>
                <w:sz w:val="16"/>
              </w:rPr>
              <w:t>1. 하드웨어 인지 경량화</w:t>
              <w:br/>
              <w:t>(Hardware-Aware Pruning)</w:t>
            </w:r>
          </w:p>
        </w:tc>
        <w:tc>
          <w:tcPr>
            <w:tcW w:type="dxa" w:w="7087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• 150+ 최적화 패턴 라이브러리: 대상 칩셋(GPU/NPU/CPU)의 연산 유닛 및 메모리 대역폭 특성에 맞춰 최적의 압축 기법 자동 매칭</w:t>
              <w:br/>
              <w:t>• 구조적 가지치기 (Structured Pruning): 실제 가속기에서 하드웨어 가속이 가능한 형태로 채널/필터 단위 압축</w:t>
              <w:br/>
              <w:t>• 필터 분해 &amp; 레이어 융합 (Layer Fusion): 트랜스포머 어텐션 블록 및 합성곱 연산 경량화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9D4EDD"/>
                <w:sz w:val="16"/>
              </w:rPr>
              <w:t>2. 지능형 양자화 &amp; LLM</w:t>
              <w:br/>
              <w:t>(Advanced Quantization)</w:t>
            </w:r>
          </w:p>
        </w:tc>
        <w:tc>
          <w:tcPr>
            <w:tcW w:type="dxa" w:w="708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• 혼합 정밀도 양자화 (Mixed Precision): 레이어 민감도를 자동 평가하여 FP16, INT8, INT4, FP8 복합 배정</w:t>
              <w:br/>
              <w:t>• LLM 특화 양자화 (AutoRound): Llama 3, Mistral, Qwen 등 거대 모델의 정확도 손실을 1% 미만으로 억제하며 가중치 압축</w:t>
              <w:br/>
              <w:t>• HAQA (Hardware-Aware Quantization Agent): LLM 기반 에이전트가 타깃 칩셋 제약에 맞춰 하이퍼파라미터 자율 탐색</w:t>
            </w:r>
          </w:p>
        </w:tc>
      </w:tr>
      <w:tr>
        <w:tc>
          <w:tcPr>
            <w:tcW w:type="dxa" w:w="2551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9D4EDD"/>
                <w:sz w:val="16"/>
              </w:rPr>
              <w:t>3. Device Farm &amp; 자동 컴파일</w:t>
              <w:br/>
              <w:t>(Benchmarking &amp; Toolchain)</w:t>
            </w:r>
          </w:p>
        </w:tc>
        <w:tc>
          <w:tcPr>
            <w:tcW w:type="dxa" w:w="7087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• 물리 칩셋 실측 (Device Farm): 단순 시뮬레이션이 아닌 실제 물리 칩셋에서 Latency, Memory Footprint, 전력 소모 실측</w:t>
              <w:br/>
              <w:t>• 원클릭 타깃 툴체인 변환: ONNX, TensorRT, OpenVINO, TFLite, SNPE, QNN 등으로 자동 컴파일</w:t>
              <w:br/>
              <w:t>• 노코드/로우코드 파이프라인: GUI 웹 포털 및 파이썬 SDK/API를 통한 CI/CD MLOps 파이프라인 자동화</w:t>
            </w:r>
          </w:p>
        </w:tc>
      </w:tr>
    </w:tbl>
    <w:p>
      <w:pPr>
        <w:keepNext/>
        <w:spacing w:before="440" w:after="80"/>
      </w:pPr>
      <w:r>
        <w:rPr>
          <w:rFonts w:ascii="Malgun Gothic" w:hAnsi="Malgun Gothic"/>
          <w:b/>
          <w:color w:val="9D4EDD"/>
          <w:sz w:val="28"/>
        </w:rPr>
        <w:t xml:space="preserve">[2] </w:t>
      </w:r>
      <w:r>
        <w:rPr>
          <w:rFonts w:ascii="Malgun Gothic" w:hAnsi="Malgun Gothic"/>
          <w:b/>
          <w:color w:val="0F172A"/>
          <w:sz w:val="28"/>
        </w:rPr>
        <w:t>MZC AI Full Stack 편입 시 핵심 검토 및 사전 점검 과제</w:t>
      </w:r>
    </w:p>
    <w:p>
      <w:pPr>
        <w:keepNext/>
        <w:spacing w:before="0" w:after="200"/>
      </w:pPr>
      <w:r>
        <w:rPr>
          <w:rFonts w:ascii="Malgun Gothic" w:hAnsi="Malgun Gothic"/>
          <w:i/>
          <w:color w:val="555555"/>
          <w:sz w:val="19"/>
        </w:rPr>
        <w:t>성공적인 엔터프라이즈 오퍼링 편입을 위한 4대 Gap 및 Risk 분석</w:t>
      </w:r>
    </w:p>
    <w:p>
      <w:pPr>
        <w:spacing w:before="60" w:after="160" w:line="324" w:lineRule="auto"/>
      </w:pPr>
      <w:r>
        <w:rPr>
          <w:rFonts w:ascii="Malgun Gothic" w:hAnsi="Malgun Gothic"/>
          <w:color w:val="222222"/>
          <w:sz w:val="18"/>
        </w:rPr>
        <w:t>메가존클라우드의 엔터프라이즈 AI Full Stack 프레임워크에 NetsPresso를 공식 솔루션 컴포넌트로 결합하기 위해 다음 4대 핵심 항목에 대한 심층 기술 및 비즈니스 검토가 선행되어야 합니다.</w:t>
      </w:r>
    </w:p>
    <w:p>
      <w:pPr>
        <w:spacing w:before="40" w:after="80"/>
        <w:ind w:left="227"/>
      </w:pPr>
      <w:r>
        <w:rPr>
          <w:rFonts w:ascii="Malgun Gothic" w:hAnsi="Malgun Gothic"/>
          <w:b/>
          <w:color w:val="9D4EDD"/>
          <w:sz w:val="17"/>
        </w:rPr>
        <w:t xml:space="preserve">• 1. 대형 파운데이션 모델(LLM / MoE / VLM) 지원 성숙도 검증: </w:t>
      </w:r>
      <w:r>
        <w:rPr>
          <w:rFonts w:ascii="Malgun Gothic" w:hAnsi="Malgun Gothic"/>
          <w:color w:val="222222"/>
          <w:sz w:val="17"/>
        </w:rPr>
        <w:t>NetsPresso의 뿌리는 컴퓨터 비전(CNN, YOLO) 및 엣지 AI에 있으므로, 엔터프라이즈 고객이 주로 요구하는 32B~70B 대형 언어 모델(Qwen2.5-Coder, Llama 3.3), MoE 구조(Mixtral), 멀티모달(VLM)에 대한 압축·양자화 지원 안정성과 실측 처리 성능(TPS) 검증이 필수적입니다.</w:t>
      </w:r>
    </w:p>
    <w:p>
      <w:pPr>
        <w:spacing w:before="40" w:after="80"/>
        <w:ind w:left="227"/>
      </w:pPr>
      <w:r>
        <w:rPr>
          <w:rFonts w:ascii="Malgun Gothic" w:hAnsi="Malgun Gothic"/>
          <w:b/>
          <w:color w:val="9D4EDD"/>
          <w:sz w:val="17"/>
        </w:rPr>
        <w:t xml:space="preserve">• 2. 온프레미스 완전 폐쇄망(Air-Gap) 설치 배포 지원 여부: </w:t>
      </w:r>
      <w:r>
        <w:rPr>
          <w:rFonts w:ascii="Malgun Gothic" w:hAnsi="Malgun Gothic"/>
          <w:color w:val="222222"/>
          <w:sz w:val="17"/>
        </w:rPr>
        <w:t>금융·공공·제조 대기업 고객은 외부 인터넷과 차단된 소버린 폐쇄망 환경을 요구합니다. 현재 NetsPresso의 주요 서비스 형태가 클라우드 SaaS인지, 또는 사내 쿠버네티스(OpenShift/Nutanix) 상에 온프레미스 프라이빗 패키지(컨테이너 Appliance)로 배포 가능한지 및 오프라인 라이선스 인증 방식을 확인해야 합니다.</w:t>
      </w:r>
    </w:p>
    <w:p>
      <w:pPr>
        <w:spacing w:before="40" w:after="80"/>
        <w:ind w:left="227"/>
      </w:pPr>
      <w:r>
        <w:rPr>
          <w:rFonts w:ascii="Malgun Gothic" w:hAnsi="Malgun Gothic"/>
          <w:b/>
          <w:color w:val="9D4EDD"/>
          <w:sz w:val="17"/>
        </w:rPr>
        <w:t xml:space="preserve">• 3. 엔터프라이즈 MLOps 및 서빙 엔진 연동성 (Interoperability): </w:t>
      </w:r>
      <w:r>
        <w:rPr>
          <w:rFonts w:ascii="Malgun Gothic" w:hAnsi="Malgun Gothic"/>
          <w:color w:val="222222"/>
          <w:sz w:val="17"/>
        </w:rPr>
        <w:t>MZC 스택의 핵심 서빙 프레임워크인 vLLM, Triton Inference Server, KServe, DataRobot 및 LangChain/Articul8과의 표준 API(REST/gRPC/CLI/SDK) 연계 파이프라인 호환성을 사전 검증해야 합니다.</w:t>
      </w:r>
    </w:p>
    <w:p>
      <w:pPr>
        <w:spacing w:before="40" w:after="80"/>
        <w:ind w:left="227"/>
      </w:pPr>
      <w:r>
        <w:rPr>
          <w:rFonts w:ascii="Malgun Gothic" w:hAnsi="Malgun Gothic"/>
          <w:b/>
          <w:color w:val="9D4EDD"/>
          <w:sz w:val="17"/>
        </w:rPr>
        <w:t xml:space="preserve">• 4. 상용 라이선스 체계 및 SI 비즈니스 마진 구조: </w:t>
      </w:r>
      <w:r>
        <w:rPr>
          <w:rFonts w:ascii="Malgun Gothic" w:hAnsi="Malgun Gothic"/>
          <w:color w:val="222222"/>
          <w:sz w:val="17"/>
        </w:rPr>
        <w:t>디바이스당 과금(Per-device), 모델당 과금(Per-model), 또는 엔터프라이즈 연간 서브스크립션(Annual License) 등 노타의 가격 정책을 확인하고, MZC의 H/W(Dell) + 가상화(Nutanix/Red Hat) 패키지 번들링 시 경쟁력 있는 고객 TCO와 당사 SI 마진율을 산정해야 합니다.</w:t>
      </w:r>
    </w:p>
    <w:p>
      <w:pPr>
        <w:keepNext/>
        <w:spacing w:before="440" w:after="80"/>
      </w:pPr>
      <w:r>
        <w:rPr>
          <w:rFonts w:ascii="Malgun Gothic" w:hAnsi="Malgun Gothic"/>
          <w:b/>
          <w:color w:val="9D4EDD"/>
          <w:sz w:val="28"/>
        </w:rPr>
        <w:t xml:space="preserve">[3] </w:t>
      </w:r>
      <w:r>
        <w:rPr>
          <w:rFonts w:ascii="Malgun Gothic" w:hAnsi="Malgun Gothic"/>
          <w:b/>
          <w:color w:val="0F172A"/>
          <w:sz w:val="28"/>
        </w:rPr>
        <w:t>Red Hat OpenShift AI (RHOAI)와의 기능 비교 및 상호 보완 공존 방안</w:t>
      </w:r>
    </w:p>
    <w:p>
      <w:pPr>
        <w:keepNext/>
        <w:spacing w:before="0" w:after="200"/>
      </w:pPr>
      <w:r>
        <w:rPr>
          <w:rFonts w:ascii="Malgun Gothic" w:hAnsi="Malgun Gothic"/>
          <w:i/>
          <w:color w:val="555555"/>
          <w:sz w:val="19"/>
        </w:rPr>
        <w:t>엔터프라이즈 인프라 플랫폼(RHOAI)과 전문 모델 경량화 엔진(NetsPresso)의 시너지</w:t>
      </w:r>
    </w:p>
    <w:p>
      <w:pPr>
        <w:spacing w:before="60" w:after="160" w:line="324" w:lineRule="auto"/>
      </w:pPr>
      <w:r>
        <w:rPr>
          <w:rFonts w:ascii="Malgun Gothic" w:hAnsi="Malgun Gothic"/>
          <w:color w:val="222222"/>
          <w:sz w:val="18"/>
        </w:rPr>
        <w:t>Red Hat OpenShift AI(RHOAI)와 NetsPresso는 직접적인 경쟁 관계가 아니며, 엔터프라이즈 MLOps 플랫폼(RHOAI)과 전문 모델 최적화 엔진(NetsPresso)으로서 완벽한 상호 보완(Complementary) 관계를 형성합니다.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none"/>
          <w:bottom w:val="single" w:sz="4" w:space="0" w:color="D1D5DB"/>
          <w:right w:val="none"/>
          <w:insideH w:val="single" w:sz="4" w:space="0" w:color="D1D5DB"/>
          <w:insideV w:val="none"/>
        </w:tblBorders>
      </w:tblPr>
      <w:tblGrid>
        <w:gridCol w:w="3324"/>
        <w:gridCol w:w="3324"/>
        <w:gridCol w:w="3324"/>
      </w:tblGrid>
      <w:tr>
        <w:tc>
          <w:tcPr>
            <w:tcW w:type="dxa" w:w="1814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비교 항목</w:t>
            </w:r>
          </w:p>
        </w:tc>
        <w:tc>
          <w:tcPr>
            <w:tcW w:type="dxa" w:w="3855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Red Hat OpenShift AI (RHOAI)</w:t>
            </w:r>
          </w:p>
        </w:tc>
        <w:tc>
          <w:tcPr>
            <w:tcW w:type="dxa" w:w="3969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Malgun Gothic" w:hAnsi="Malgun Gothic"/>
                <w:b/>
                <w:color w:val="FFFFFF"/>
                <w:sz w:val="17"/>
              </w:rPr>
              <w:t>Nota.ai NetsPresso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핵심 역할 &amp; 계층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Layer 02 / 03 코어 MLOps &amp; 서빙 플랫폼</w:t>
              <w:br/>
              <w:t>(엔터프라이즈 K8s 기반 전주기 AI 인프라 오케스트레이션)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Layer 03 특화 모델 최적화 &amp; 컴파일러 엔진</w:t>
              <w:br/>
              <w:t>(타깃 하드웨어 인지 모델 경량화/양자화/컴파일 전문 도구)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주요 핵심 기능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• 분산 학습 (Ray, PyTorch)</w:t>
              <w:br/>
              <w:t>• 파이프라인 자동화 (Kubeflow, Elyra)</w:t>
              <w:br/>
              <w:t>• 엔터프라이즈 서빙 (KServe, vLLM, OpenVINO)</w:t>
              <w:br/>
              <w:t>• vGPU/MIG 스케줄링 &amp; 보안 거버넌스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• 하드웨어 인지 구조적 가지치기 (Pruning)</w:t>
              <w:br/>
              <w:t>• LLM AutoRound / Mixed Precision 양자화</w:t>
              <w:br/>
              <w:t>• 150+ 타깃 칩셋 맞춤 IR 변환 &amp; 컴파일</w:t>
              <w:br/>
              <w:t>• Device Farm 실측 벤치마킹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모델 경량화 깊이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표준 프레임워크 수준 (일반 Quantization 지원)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  <w:shd w:fill="F8FAFC"/>
          </w:tcPr>
          <w:p>
            <w:r>
              <w:rPr>
                <w:rFonts w:ascii="Malgun Gothic" w:hAnsi="Malgun Gothic"/>
                <w:color w:val="222222"/>
                <w:sz w:val="16"/>
              </w:rPr>
              <w:t>하드웨어 맞춤형 초정밀 경량화 &amp; 최적화 전문</w:t>
            </w:r>
          </w:p>
        </w:tc>
      </w:tr>
      <w:tr>
        <w:tc>
          <w:tcPr>
            <w:tcW w:type="dxa" w:w="181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b/>
                <w:color w:val="0F172A"/>
                <w:sz w:val="16"/>
              </w:rPr>
              <w:t>인프라 제어 범위</w:t>
            </w:r>
          </w:p>
        </w:tc>
        <w:tc>
          <w:tcPr>
            <w:tcW w:type="dxa" w:w="3855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전사 클러스터, 멀티 테넌시, 스토리지, 보안 제어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Malgun Gothic" w:hAnsi="Malgun Gothic"/>
                <w:color w:val="222222"/>
                <w:sz w:val="16"/>
              </w:rPr>
              <w:t>단일 모델 아티팩트 압축 및 컴파일에 집중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tcMar>
              <w:top w:w="140" w:type="dxa"/>
              <w:bottom w:w="140" w:type="dxa"/>
              <w:left w:w="160" w:type="dxa"/>
              <w:right w:w="160" w:type="dxa"/>
            </w:tcMar>
            <w:shd w:fill="FDF4FF"/>
            <w:tcBorders>
              <w:left w:val="single" w:sz="24" w:space="0" w:color="9D4EDD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rFonts w:ascii="Malgun Gothic" w:hAnsi="Malgun Gothic"/>
                <w:b/>
                <w:color w:val="0F172A"/>
                <w:sz w:val="19"/>
              </w:rPr>
              <w:t>💡 RHOAI + NetsPresso 통합 시너지 파이프라인 아키텍처</w:t>
            </w:r>
          </w:p>
          <w:p>
            <w:pPr>
              <w:spacing w:before="40" w:after="40" w:line="300" w:lineRule="auto"/>
              <w:ind w:left="170"/>
            </w:pPr>
            <w:r>
              <w:rPr>
                <w:rFonts w:ascii="Malgun Gothic" w:hAnsi="Malgun Gothic"/>
                <w:color w:val="222222"/>
                <w:sz w:val="17"/>
              </w:rPr>
              <w:t>• [연동 흐름]: RHOAI Workbench(학습) ➔ NetsPresso Plugin(자동 양자화/컴파일) ➔ RHOAI KServe/vLLM(엔터프라이즈 서빙 배포)</w:t>
            </w:r>
          </w:p>
          <w:p>
            <w:pPr>
              <w:spacing w:before="40" w:after="40" w:line="300" w:lineRule="auto"/>
              <w:ind w:left="170"/>
            </w:pPr>
            <w:r>
              <w:rPr>
                <w:rFonts w:ascii="Malgun Gothic" w:hAnsi="Malgun Gothic"/>
                <w:color w:val="222222"/>
                <w:sz w:val="17"/>
              </w:rPr>
              <w:t>• [도입 효과]: 개발자는 RHOAI에서 단일 워크플로우로 작업하며, 백엔드에서 NetsPresso가 모델을 1/2~1/4로 압축하여 단일 GPU 서빙 TPS를 3배 이상 향상시킵니다.</w:t>
            </w:r>
          </w:p>
        </w:tc>
      </w:tr>
    </w:tbl>
    <w:p>
      <w:pPr>
        <w:spacing w:before="0" w:after="120"/>
      </w:pPr>
    </w:p>
    <w:p>
      <w:pPr>
        <w:keepNext/>
        <w:spacing w:before="440" w:after="80"/>
      </w:pPr>
      <w:r>
        <w:rPr>
          <w:rFonts w:ascii="Malgun Gothic" w:hAnsi="Malgun Gothic"/>
          <w:b/>
          <w:color w:val="9D4EDD"/>
          <w:sz w:val="28"/>
        </w:rPr>
        <w:t xml:space="preserve">[4] </w:t>
      </w:r>
      <w:r>
        <w:rPr>
          <w:rFonts w:ascii="Malgun Gothic" w:hAnsi="Malgun Gothic"/>
          <w:b/>
          <w:color w:val="0F172A"/>
          <w:sz w:val="28"/>
        </w:rPr>
        <w:t>MZC AI Full Stack 내 단독/복합 솔루션 제안 시나리오</w:t>
      </w:r>
    </w:p>
    <w:p>
      <w:pPr>
        <w:keepNext/>
        <w:spacing w:before="0" w:after="200"/>
      </w:pPr>
      <w:r>
        <w:rPr>
          <w:rFonts w:ascii="Malgun Gothic" w:hAnsi="Malgun Gothic"/>
          <w:i/>
          <w:color w:val="555555"/>
          <w:sz w:val="19"/>
        </w:rPr>
        <w:t>고객 페인포인트 해결을 위한 3대 대표 비즈니스 오퍼링 패키지</w:t>
      </w:r>
    </w:p>
    <w:p>
      <w:pPr>
        <w:spacing w:before="60" w:after="160" w:line="324" w:lineRule="auto"/>
      </w:pPr>
      <w:r>
        <w:rPr>
          <w:rFonts w:ascii="Malgun Gothic" w:hAnsi="Malgun Gothic"/>
          <w:color w:val="222222"/>
          <w:sz w:val="18"/>
        </w:rPr>
        <w:t>MZC AI Full Stack의 포트폴리오 관점에서 NetsPresso를 단독 또는 복합 패키지로 제안할 수 있는 3가지 대표적인 고객 적용 시나리오입니다.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2"/>
        </w:rPr>
        <w:t>■ 시나리오 1. 스마트팩토리 엣지 AI 패키지 (Vision AI &amp; IoT)</w:t>
      </w:r>
    </w:p>
    <w:p>
      <w:pPr>
        <w:spacing w:before="20" w:after="120"/>
        <w:ind w:left="227"/>
      </w:pPr>
      <w:r>
        <w:rPr>
          <w:rFonts w:ascii="Malgun Gothic" w:hAnsi="Malgun Gothic"/>
          <w:color w:val="222222"/>
          <w:sz w:val="17"/>
        </w:rPr>
        <w:t>• 적용 분야: 제조 공장 실시간 불량 검출(Vision AI), 지능형 CCTV 관제, 물류 로봇</w:t>
        <w:br/>
        <w:t>• 고객 페인포인트: 고성능 비전 AI 모델이 현장 엣지 칩셋(NVIDIA Jetson, Intel NUC)에서 메모리 초과 및 발열로 가동 불가</w:t>
        <w:br/>
        <w:t>• MZC 오퍼링: Dell 엣지 서버 + NetsPresso 비전 경량화(크기 1/5, 속도 3~5배 향상) + 온프레미스 통합 관제 시스템 구축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2"/>
        </w:rPr>
        <w:t>■ 시나리오 2. 소버린 sLLM 경량 서빙 패키지 (단일 GPU 고성능 RAG)</w:t>
      </w:r>
    </w:p>
    <w:p>
      <w:pPr>
        <w:spacing w:before="20" w:after="120"/>
        <w:ind w:left="227"/>
      </w:pPr>
      <w:r>
        <w:rPr>
          <w:rFonts w:ascii="Malgun Gothic" w:hAnsi="Malgun Gothic"/>
          <w:color w:val="222222"/>
          <w:sz w:val="17"/>
        </w:rPr>
        <w:t>• 적용 분야: 금융·공공 사내 Q&amp;A RAG, 온프레미스 사내 코딩 에이전트</w:t>
        <w:br/>
        <w:t>• 고객 페인포인트: 8-GPU 대형 서버(10억+) 도입 예산 부담, 1~2 GPU 서버로 고속 추론을 구현해야 하는 예산 제약</w:t>
        <w:br/>
        <w:t>• MZC 오퍼링: Dell PowerEdge R760(2x RTX 6000 Ada / L40S) + NetsPresso AutoRound INT4 양자화 + vLLM 결합으로 단일 가속기에서 60+ TPS 서빙 달성 (인프라 도입 TCO 60% 절감)</w:t>
      </w:r>
    </w:p>
    <w:p>
      <w:pPr>
        <w:keepNext/>
        <w:spacing w:before="240" w:after="80"/>
      </w:pPr>
      <w:r>
        <w:rPr>
          <w:rFonts w:ascii="Malgun Gothic" w:hAnsi="Malgun Gothic"/>
          <w:b/>
          <w:color w:val="0F172A"/>
          <w:sz w:val="22"/>
        </w:rPr>
        <w:t>■ 시나리오 3. 소버린 NPU 멀티 벤더 전환 패키지 (이기종 가속기)</w:t>
      </w:r>
    </w:p>
    <w:p>
      <w:pPr>
        <w:spacing w:before="20" w:after="120"/>
        <w:ind w:left="227"/>
      </w:pPr>
      <w:r>
        <w:rPr>
          <w:rFonts w:ascii="Malgun Gothic" w:hAnsi="Malgun Gothic"/>
          <w:color w:val="222222"/>
          <w:sz w:val="17"/>
        </w:rPr>
        <w:t>• 적용 분야: 공공·국방 국산 AI 반도체 실증 사업, 엔터프라이즈 엔비디아 GPU 종속 탈피</w:t>
        <w:br/>
        <w:t>• 고객 페인포인트: 엔비디아 GPU 수급난 및 과도한 비용, 국산 NPU로의 포팅 시 모델 호환성 및 성능 저하 우려</w:t>
        <w:br/>
        <w:t>• MZC 오퍼링: 리벨리온, 퓨리오사AI NPU + NetsPresso Device Farm 자동 컴파일로 이기종 칩셋 원클릭 마이그레이션 실현</w:t>
      </w:r>
    </w:p>
    <w:p>
      <w:pPr>
        <w:keepNext/>
        <w:spacing w:before="440" w:after="80"/>
      </w:pPr>
      <w:r>
        <w:rPr>
          <w:rFonts w:ascii="Malgun Gothic" w:hAnsi="Malgun Gothic"/>
          <w:b/>
          <w:color w:val="9D4EDD"/>
          <w:sz w:val="28"/>
        </w:rPr>
        <w:t xml:space="preserve">[5] </w:t>
      </w:r>
      <w:r>
        <w:rPr>
          <w:rFonts w:ascii="Malgun Gothic" w:hAnsi="Malgun Gothic"/>
          <w:b/>
          <w:color w:val="0F172A"/>
          <w:sz w:val="28"/>
        </w:rPr>
        <w:t>종합 결론 및 향후 기술 검증(PoC) 제언</w:t>
      </w:r>
    </w:p>
    <w:p>
      <w:pPr>
        <w:keepNext/>
        <w:spacing w:before="0" w:after="200"/>
      </w:pPr>
      <w:r>
        <w:rPr>
          <w:rFonts w:ascii="Malgun Gothic" w:hAnsi="Malgun Gothic"/>
          <w:i/>
          <w:color w:val="555555"/>
          <w:sz w:val="19"/>
        </w:rPr>
        <w:t>Layer 03 구성요소 편입 검토 가능성 및 사전 기술 검증 선행 과제</w:t>
      </w:r>
    </w:p>
    <w:p>
      <w:pPr>
        <w:spacing w:before="60" w:after="160" w:line="324" w:lineRule="auto"/>
      </w:pPr>
      <w:r>
        <w:rPr>
          <w:rFonts w:ascii="Malgun Gothic" w:hAnsi="Malgun Gothic"/>
          <w:color w:val="222222"/>
          <w:sz w:val="18"/>
        </w:rPr>
        <w:t>Nota.ai의 NetsPresso는 동일 인프라 환경에서 모델 경량화 및 추론 서빙 처리량(TPS)을 최대 3배 이상 극대화할 수 있는 잠재력을 보유하고 있어, 향후 MZC AI Full Stack의 'Layer 03 (LLM Model + Tool Layer)' 내 압축/최적화 구성요소 중 하나로 편입을 검토할 수 있는 솔루션입니다.</w:t>
      </w:r>
    </w:p>
    <w:p>
      <w:pPr>
        <w:spacing w:before="60" w:after="160" w:line="324" w:lineRule="auto"/>
      </w:pPr>
      <w:r>
        <w:rPr>
          <w:rFonts w:ascii="Malgun Gothic" w:hAnsi="Malgun Gothic"/>
          <w:color w:val="222222"/>
          <w:sz w:val="18"/>
        </w:rPr>
        <w:t>그러나 즉각적인 상용 도입이나 필수 탑재를 결정하기에 앞서, 엔터프라이즈 거대 LLM(32B~70B)에 대한 실증 성능, 온프레미스 폐쇄망(Air-Gap) 배포 안정성, 그리고 상용 라이선스 비즈니스 모델에 대한 사전 기술 검증(PoC)이 반드시 선행되어야 하는 '향후 필요 시 검토 대상(Candidate)' 솔루션으로 포지셔닝합니다.</w:t>
      </w:r>
    </w:p>
    <w:p>
      <w:pPr>
        <w:spacing w:before="40" w:after="80"/>
        <w:ind w:left="227"/>
      </w:pPr>
      <w:r>
        <w:rPr>
          <w:rFonts w:ascii="Malgun Gothic" w:hAnsi="Malgun Gothic"/>
          <w:b/>
          <w:color w:val="9D4EDD"/>
          <w:sz w:val="17"/>
        </w:rPr>
        <w:t xml:space="preserve">• 1. 사내 랩 기반 사전 기술 검증(PoC) 우선 추진: </w:t>
      </w:r>
      <w:r>
        <w:rPr>
          <w:rFonts w:ascii="Malgun Gothic" w:hAnsi="Malgun Gothic"/>
          <w:color w:val="222222"/>
          <w:sz w:val="17"/>
        </w:rPr>
        <w:t>당사 사내 AI 데모 랩(Dell PowerEdge R760)에서 엔터프라이즈 코딩 모델(Qwen2.5-Coder) 및 사내 sLLM(Solar)을 대상으로 실제 정확도 보존율과 TPS 향상률을 정밀 실측 검증</w:t>
      </w:r>
    </w:p>
    <w:p>
      <w:pPr>
        <w:spacing w:before="40" w:after="80"/>
        <w:ind w:left="227"/>
      </w:pPr>
      <w:r>
        <w:rPr>
          <w:rFonts w:ascii="Malgun Gothic" w:hAnsi="Malgun Gothic"/>
          <w:b/>
          <w:color w:val="9D4EDD"/>
          <w:sz w:val="17"/>
        </w:rPr>
        <w:t xml:space="preserve">• 2. 온프레미스 완전 폐쇄망(Air-Gap) 패키징 검토: </w:t>
      </w:r>
      <w:r>
        <w:rPr>
          <w:rFonts w:ascii="Malgun Gothic" w:hAnsi="Malgun Gothic"/>
          <w:color w:val="222222"/>
          <w:sz w:val="17"/>
        </w:rPr>
        <w:t>금융·공공 고객 환경에 필수적인 독립 컨테이너 Appliance 배포 및 오프라인 라이선스 인증 체계의 기술적 성숙도 점검</w:t>
      </w:r>
    </w:p>
    <w:p>
      <w:pPr>
        <w:spacing w:before="40" w:after="80"/>
        <w:ind w:left="227"/>
      </w:pPr>
      <w:r>
        <w:rPr>
          <w:rFonts w:ascii="Malgun Gothic" w:hAnsi="Malgun Gothic"/>
          <w:b/>
          <w:color w:val="9D4EDD"/>
          <w:sz w:val="17"/>
        </w:rPr>
        <w:t xml:space="preserve">• 3. 점진적 파트너십 및 옵션형 솔루션 검토: </w:t>
      </w:r>
      <w:r>
        <w:rPr>
          <w:rFonts w:ascii="Malgun Gothic" w:hAnsi="Malgun Gothic"/>
          <w:color w:val="222222"/>
          <w:sz w:val="17"/>
        </w:rPr>
        <w:t>필수 기본 탑재가 아닌, 엣지 AI나 단일 GPU sLLM 최적화 등 특정 고객 요구 시 선택적으로 제안할 수 있는 '선택형 확장 옵션(Optional Add-on)'으로 파트너십 조건 협의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/>
        <w:color w:val="555555"/>
        <w:sz w:val="16"/>
      </w:rPr>
      <w:t>© 2026 MEGAZONECLOUD Corp. All Rights Reserved. | Executive Technical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555555"/>
        <w:sz w:val="16"/>
      </w:rPr>
      <w:t>Nota.ai NetsPresso 기술 분석 &amp; MZC AI Full Stack 연계 전략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