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/>
          <w:color w:val="555555"/>
          <w:sz w:val="17"/>
        </w:rPr>
        <w:t>MEGAZONECLOUD ISSU | FEASIBILITY EVALUATION REPORT</w:t>
      </w:r>
    </w:p>
    <w:p>
      <w:pPr>
        <w:spacing w:before="800"/>
      </w:pPr>
    </w:p>
    <w:p>
      <w:r>
        <w:rPr>
          <w:rFonts w:ascii="맑은 고딕" w:hAnsi="맑은 고딕"/>
          <w:b/>
          <w:color w:val="FF5E14"/>
          <w:sz w:val="21"/>
        </w:rPr>
        <w:t>【 Third-Party ISV Feasibility Evaluation 】</w:t>
      </w:r>
    </w:p>
    <w:p>
      <w:pPr>
        <w:spacing w:before="200" w:after="280"/>
      </w:pPr>
      <w:r>
        <w:rPr>
          <w:rFonts w:ascii="맑은 고딕" w:hAnsi="맑은 고딕"/>
          <w:b/>
          <w:color w:val="07090E"/>
          <w:sz w:val="42"/>
        </w:rPr>
        <w:t>SambaNova RDU 기술 분석 및</w:t>
        <w:br/>
        <w:t>MZC AI Full Stack 편입 가능성 종합 검토 보고서</w:t>
      </w:r>
    </w:p>
    <w:p>
      <w:pPr>
        <w:spacing w:after="560"/>
      </w:pPr>
      <w:r>
        <w:rPr>
          <w:rFonts w:ascii="맑은 고딕" w:hAnsi="맑은 고딕"/>
          <w:color w:val="555555"/>
          <w:sz w:val="21"/>
        </w:rPr>
        <w:t>스탠퍼드 RDA SN50 분석, 비즈니스 가드레일(프레임워크 파편화 방지 / Dell·NVIDIA 총판 집중 / 1년 BEP 시뮬레이션) 중심 검토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ABF0"/>
          <w:left w:val="none"/>
          <w:bottom w:val="single" w:sz="6" w:space="0" w:color="00ABF0"/>
          <w:right w:val="none"/>
          <w:insideH w:val="single" w:sz="6" w:space="0" w:color="00ABF0"/>
          <w:insideV w:val="none"/>
        </w:tblBorders>
      </w:tblPr>
      <w:tblGrid>
        <w:gridCol w:w="4986"/>
        <w:gridCol w:w="4986"/>
      </w:tblGrid>
      <w:tr>
        <w:tc>
          <w:tcPr>
            <w:tcW w:type="dxa" w:w="2268"/>
            <w:shd w:fill="EBF6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문서 번호</w:t>
            </w:r>
          </w:p>
        </w:tc>
        <w:tc>
          <w:tcPr>
            <w:tcW w:type="dxa" w:w="7087"/>
            <w:shd w:fill="F8FBF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222222"/>
                <w:sz w:val="19"/>
              </w:rPr>
              <w:t>SPEC-20260820-SAMBANOVA-01</w:t>
            </w:r>
          </w:p>
        </w:tc>
      </w:tr>
      <w:tr>
        <w:tc>
          <w:tcPr>
            <w:tcW w:type="dxa" w:w="2268"/>
            <w:shd w:fill="EBF6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발행 일자</w:t>
            </w:r>
          </w:p>
        </w:tc>
        <w:tc>
          <w:tcPr>
            <w:tcW w:type="dxa" w:w="7087"/>
            <w:shd w:fill="F8FBF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222222"/>
                <w:sz w:val="19"/>
              </w:rPr>
              <w:t>2026년 08월 20일</w:t>
            </w:r>
          </w:p>
        </w:tc>
      </w:tr>
      <w:tr>
        <w:tc>
          <w:tcPr>
            <w:tcW w:type="dxa" w:w="2268"/>
            <w:shd w:fill="EBF6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작성 부서</w:t>
            </w:r>
          </w:p>
        </w:tc>
        <w:tc>
          <w:tcPr>
            <w:tcW w:type="dxa" w:w="7087"/>
            <w:shd w:fill="F8FBF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222222"/>
                <w:sz w:val="19"/>
              </w:rPr>
              <w:t>메가존클라우드(주) ISSU 아키텍처 및 솔루션 프리세일즈 팀</w:t>
            </w:r>
          </w:p>
        </w:tc>
      </w:tr>
      <w:tr>
        <w:tc>
          <w:tcPr>
            <w:tcW w:type="dxa" w:w="2268"/>
            <w:shd w:fill="EBF6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분석 대상</w:t>
            </w:r>
          </w:p>
        </w:tc>
        <w:tc>
          <w:tcPr>
            <w:tcW w:type="dxa" w:w="7087"/>
            <w:shd w:fill="F8FBF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222222"/>
                <w:sz w:val="19"/>
              </w:rPr>
              <w:t>SambaNova Overview Deck (SN40/SN50 RDU, SambaRack, SambaStack)</w:t>
            </w:r>
          </w:p>
        </w:tc>
      </w:tr>
    </w:tbl>
    <w:p>
      <w:pPr>
        <w:spacing w:before="600" w:after="400"/>
      </w:pPr>
    </w:p>
    <w:p>
      <w:r>
        <w:rPr>
          <w:rFonts w:ascii="맑은 고딕" w:hAnsi="맑은 고딕"/>
          <w:b/>
          <w:color w:val="FF5E14"/>
          <w:sz w:val="22"/>
        </w:rPr>
        <w:t>■ Executive Summary (핵심 검토 요약)</w:t>
        <w:br/>
      </w:r>
      <w:r>
        <w:rPr>
          <w:rFonts w:ascii="맑은 고딕" w:hAnsi="맑은 고딕"/>
          <w:color w:val="222222"/>
          <w:sz w:val="18"/>
        </w:rPr>
        <w:t>1. 기술적 우수성: SambaNova SN50 RDU는 순차적 토큰 생성(Decode)에 극도로 최적화되어 GPU 대비 10배 빠른 토큰 속도(250+ Tok/s)와 30kW 공랭 전산실 수용성을 제공함.</w:t>
        <w:br/>
        <w:t>2. 비즈니스 가드레일 검토: MZC는 Dell/NVIDIA 공인 총판 지위를 보유하고 있어 검증된 메인스트림 H/W 중심 영업이 압도적으로 유리하며, 독자 칩셋(RDU) 편입 시 솔루션 프레임워크 파편화가 우려됨.</w:t>
        <w:br/>
        <w:t>3. 조직 셋업 및 BEP 시뮬레이션: 5인 전담 조직 셋업 시 연간 고정비 약 10~12억 원이 소요되나 국내 예상 수주는 연 0~1건에 불과하여 예상 BEP 도달 기간이 3~4년 소요됨 (1년 내 회수 불가).</w:t>
        <w:br/>
        <w:t>4. 최종 판정: 200여 개 ISV 재평가 기준(1년 BEP 초과 시 배제)에 따라 'MZC 공식 솔루션 편입 부정적 (No-Go / 단순 기술 검토 단계로 동결)' 판정을 내리며, H/W 직접 핸들링을 배제하고 특수 고객 요청 시에만 전문 수입 파트너를 통한 선별적 서드파티 연계로 제한함.</w:t>
      </w:r>
    </w:p>
    <w:p>
      <w:r>
        <w:br w:type="page"/>
      </w:r>
    </w:p>
    <w:p>
      <w:pPr>
        <w:spacing w:before="360" w:after="60"/>
      </w:pPr>
      <w:r>
        <w:rPr>
          <w:rFonts w:ascii="맑은 고딕" w:hAnsi="맑은 고딕"/>
          <w:b/>
          <w:color w:val="FF5E14"/>
          <w:sz w:val="26"/>
        </w:rPr>
        <w:t xml:space="preserve">제 1 장. </w:t>
      </w:r>
      <w:r>
        <w:rPr>
          <w:rFonts w:ascii="맑은 고딕" w:hAnsi="맑은 고딕"/>
          <w:b/>
          <w:color w:val="07090E"/>
          <w:sz w:val="26"/>
        </w:rPr>
        <w:t>ISSU 조직의 본질 및 분석 기본 전제</w:t>
      </w:r>
    </w:p>
    <w:p>
      <w:pPr>
        <w:spacing w:after="200"/>
      </w:pPr>
      <w:r>
        <w:rPr>
          <w:rFonts w:ascii="맑은 고딕" w:hAnsi="맑은 고딕"/>
          <w:color w:val="555555"/>
          <w:sz w:val="18"/>
        </w:rPr>
        <w:t>— 솔루션 세일즈/프리세일즈 중심 조직, 파트너 H/W 판매 구조 및 자체 인프라 제약</w:t>
      </w:r>
    </w:p>
    <w:p>
      <w:pPr>
        <w:spacing w:after="120" w:line="288" w:lineRule="auto"/>
      </w:pPr>
      <w:r>
        <w:rPr>
          <w:rFonts w:ascii="맑은 고딕" w:hAnsi="맑은 고딕"/>
          <w:color w:val="222222"/>
          <w:sz w:val="18"/>
        </w:rPr>
        <w:t>1. ISSU 조직의 본질: 메가존클라우드의 솔루션 세일즈(Solution Sales), 기술 영업 및 프리세일즈(Presales) 중심 조직입니다.</w:t>
        <w:br/>
        <w:t>2. 하드웨어 특화 솔루션의 성격: 하드웨어를 직접 제조하거나 사내에 실물 장비를 보유하는 구조가 아니며, 당사는 '세일즈 오퍼링(Offering)' 및 아키텍처 컨설팅 패키지 형태로 포트폴리오를 보유합니다 (현재 AIDC 사업에 대하여 검토 중이나, 구체화된 내용은 없음).</w:t>
        <w:br/>
        <w:t>3. 판매 및 공급 체계: 실제 하드웨어의 조달, 납품, 유지보수 및 구축은 델(Dell)과 엔비디아(NVIDIA) 파트너 에코시스템을 통하여 이루어집니다.</w:t>
        <w:br/>
        <w:t>4. 현재의 인프라 제약: 현재 ISSU 내부에는 SambaRack이나 RDU 칩셋 등 독자 하드웨어를 직접 설치하여 테스트할 수 있는 자체 실증 Infra가 부재한 상태입니다.</w:t>
      </w:r>
    </w:p>
    <w:p>
      <w:pPr>
        <w:spacing w:before="360" w:after="60"/>
      </w:pPr>
      <w:r>
        <w:rPr>
          <w:rFonts w:ascii="맑은 고딕" w:hAnsi="맑은 고딕"/>
          <w:b/>
          <w:color w:val="FF5E14"/>
          <w:sz w:val="26"/>
        </w:rPr>
        <w:t xml:space="preserve">제 2 장. </w:t>
      </w:r>
      <w:r>
        <w:rPr>
          <w:rFonts w:ascii="맑은 고딕" w:hAnsi="맑은 고딕"/>
          <w:b/>
          <w:color w:val="07090E"/>
          <w:sz w:val="26"/>
        </w:rPr>
        <w:t>SambaNova 핵심 기술 분석 (RDU &amp; Dataflow Architecture)</w:t>
      </w:r>
    </w:p>
    <w:p>
      <w:pPr>
        <w:spacing w:after="200"/>
      </w:pPr>
      <w:r>
        <w:rPr>
          <w:rFonts w:ascii="맑은 고딕" w:hAnsi="맑은 고딕"/>
          <w:color w:val="555555"/>
          <w:sz w:val="18"/>
        </w:rPr>
        <w:t>— 스탠퍼드대 출신 유니콘, TSMC 5nm SN50 칩셋 및 Fast Decode 특화</w:t>
      </w:r>
    </w:p>
    <w:p>
      <w:pPr>
        <w:spacing w:after="120" w:line="288" w:lineRule="auto"/>
      </w:pPr>
      <w:r>
        <w:rPr>
          <w:rFonts w:ascii="맑은 고딕" w:hAnsi="맑은 고딕"/>
          <w:color w:val="222222"/>
          <w:sz w:val="18"/>
        </w:rPr>
        <w:t>SambaNova Systems는 2017년 스탠퍼드대 Kunle Olukotun, Christopher Ré 교수 등이 창업한 AI 반도체 전문 기업으로, 최근 10억 달러 규모의 Series F 투자를 유치(기업가치 110억 달러, 약 15조 원)하고 JPMorgan Chase 등의 엔터프라이즈 레퍼런스를 확보하였습니다.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86"/>
        <w:gridCol w:w="4986"/>
      </w:tblGrid>
      <w:tr>
        <w:tc>
          <w:tcPr>
            <w:tcW w:type="dxa" w:w="2551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087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7"/>
              </w:rPr>
              <w:t>SambaNova 핵심 아키텍처 및 상세 스펙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FF5E14"/>
                <w:sz w:val="17"/>
              </w:rPr>
              <w:t>SN50 RDU 프로세서</w:t>
              <w:br/>
              <w:t>(5nm Dataflow Chip)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6"/>
              </w:rPr>
              <w:t>• TSMC 5nm 공정 기반 5세대 Reconfigurable Dataflow Unit (RDU)</w:t>
              <w:br/>
              <w:t>• SRAM + HBM2e + DDR 3-Tier 메모리 계층 통합으로 온칩 메모리 병목 원천 해결</w:t>
              <w:br/>
              <w:t>• GPU 대비 최대 10배 빠른 토큰 생성 및 4~5배 향상된 추론 Throughput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b/>
                <w:color w:val="FF5E14"/>
                <w:sz w:val="17"/>
              </w:rPr>
              <w:t>Fast Decode 특화</w:t>
              <w:br/>
              <w:t>(250+ Tokens/s/user)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6"/>
              </w:rPr>
              <w:t>• LLM 추론 중 순차적 토큰 생성(Decode) 단계에 극도로 최적화</w:t>
              <w:br/>
              <w:t>• 250+ Tokens/s/user의 초고속 인터랙티브 속도로 다단계 Agentic Tool Call 지연 극복</w:t>
              <w:br/>
              <w:t>• Llama 3.3 70B, DeepSeek-R1, Qwen3 등 최신 오픈 모델 완벽 지원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FF5E14"/>
                <w:sz w:val="17"/>
              </w:rPr>
              <w:t>SambaRack &amp; SambaStack</w:t>
              <w:br/>
              <w:t>(Enterprise Appliance)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6"/>
              </w:rPr>
              <w:t>• SambaRack: 256개 RDU 집적 어플라이언스 (랙당 30kW로 일반 공랭 전산실 수용 가능)</w:t>
              <w:br/>
              <w:t>• SambaStack: 온프레미스 및 완전 폐쇄망(Air-Gapped) 프라이빗 추론 플랫폼</w:t>
            </w:r>
          </w:p>
        </w:tc>
      </w:tr>
    </w:tbl>
    <w:p>
      <w:pPr>
        <w:spacing w:before="360" w:after="60"/>
      </w:pPr>
      <w:r>
        <w:rPr>
          <w:rFonts w:ascii="맑은 고딕" w:hAnsi="맑은 고딕"/>
          <w:b/>
          <w:color w:val="FF5E14"/>
          <w:sz w:val="26"/>
        </w:rPr>
        <w:t xml:space="preserve">제 3 장. </w:t>
      </w:r>
      <w:r>
        <w:rPr>
          <w:rFonts w:ascii="맑은 고딕" w:hAnsi="맑은 고딕"/>
          <w:b/>
          <w:color w:val="07090E"/>
          <w:sz w:val="26"/>
        </w:rPr>
        <w:t>NVIDIA GPU vs SambaNova RDU 심층 기술 비교</w:t>
      </w:r>
    </w:p>
    <w:p>
      <w:pPr>
        <w:spacing w:after="200"/>
      </w:pPr>
      <w:r>
        <w:rPr>
          <w:rFonts w:ascii="맑은 고딕" w:hAnsi="맑은 고딕"/>
          <w:color w:val="555555"/>
          <w:sz w:val="18"/>
        </w:rPr>
        <w:t>— 아키텍처, Decode 속도, 소프트웨어 생태계 및 전력 소모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6"/>
              </w:rPr>
              <w:t>비교 항목</w:t>
            </w:r>
          </w:p>
        </w:tc>
        <w:tc>
          <w:tcPr>
            <w:tcW w:type="dxa" w:w="3685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6"/>
              </w:rPr>
              <w:t>NVIDIA GPU 클러스터</w:t>
              <w:br/>
              <w:t>(B200 / H100 / L40S)</w:t>
            </w:r>
          </w:p>
        </w:tc>
        <w:tc>
          <w:tcPr>
            <w:tcW w:type="dxa" w:w="3969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6"/>
              </w:rPr>
              <w:t>SambaNova RDU 어플라이언스</w:t>
              <w:br/>
              <w:t>(SN50 SambaRack)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칩셋 아키텍처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범용 SIMD/SIMT 병렬 GPU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재구성 가능 데이터플로우(RDA) RDU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추론 속도 (Decode)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사용자당 30 ~ 80 Tokens/sec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사용자당 200 ~ 250+ Tokens/sec (3~5배 빠름)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소프트웨어 생태계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NVIDIA CUDA, TensorRT-LLM (글로벌 표준)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SambaFlow 독자 컴파일러 (이식성 장벽 존재)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데이터센터 전력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NVL-72 기준 랙당 150kW (수랭식 필수)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랙당 30kW (일반 엔터프라이즈 공랭 수용 가능)</w:t>
            </w:r>
          </w:p>
        </w:tc>
      </w:tr>
      <w:tr>
        <w:tc>
          <w:tcPr>
            <w:tcW w:type="dxa" w:w="1984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소프트웨어 호환성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모든 오픈소스/상용 LLM 100% 즉시 지원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PyTorch 모델 컴파일 필요 (커스텀 오퍼레이터 제약)</w:t>
            </w:r>
          </w:p>
        </w:tc>
      </w:tr>
    </w:tbl>
    <w:p>
      <w:pPr>
        <w:spacing w:before="360" w:after="60"/>
      </w:pPr>
      <w:r>
        <w:rPr>
          <w:rFonts w:ascii="맑은 고딕" w:hAnsi="맑은 고딕"/>
          <w:b/>
          <w:color w:val="FF5E14"/>
          <w:sz w:val="26"/>
        </w:rPr>
        <w:t xml:space="preserve">제 4 장. </w:t>
      </w:r>
      <w:r>
        <w:rPr>
          <w:rFonts w:ascii="맑은 고딕" w:hAnsi="맑은 고딕"/>
          <w:b/>
          <w:color w:val="07090E"/>
          <w:sz w:val="26"/>
        </w:rPr>
        <w:t>신규 비즈니스 인력/조직 셋업 비용 및 BEP 시뮬레이션</w:t>
      </w:r>
    </w:p>
    <w:p>
      <w:pPr>
        <w:spacing w:after="200"/>
      </w:pPr>
      <w:r>
        <w:rPr>
          <w:rFonts w:ascii="맑은 고딕" w:hAnsi="맑은 고딕"/>
          <w:color w:val="555555"/>
          <w:sz w:val="18"/>
        </w:rPr>
        <w:t>— 5인 전담 조직 셋업 고정비, 국내 시장 수주 현실 및 1년 BEP 초과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6"/>
              </w:rPr>
              <w:t>비즈니스 셋업 &amp; 수익 항목</w:t>
            </w:r>
          </w:p>
        </w:tc>
        <w:tc>
          <w:tcPr>
            <w:tcW w:type="dxa" w:w="4535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6"/>
              </w:rPr>
              <w:t>비용 및 시장 현실 산정 근거</w:t>
            </w:r>
          </w:p>
        </w:tc>
        <w:tc>
          <w:tcPr>
            <w:tcW w:type="dxa" w:w="2551"/>
            <w:shd w:fill="0D111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6"/>
              </w:rPr>
              <w:t>연간 재무 영향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전담 조직 셋업 비용</w:t>
              <w:br/>
              <w:t>(5인 전담팀 구성)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• RDU 전문 솔루션 아키텍트 2명 + 세일즈 2명 + PM 1명</w:t>
              <w:br/>
              <w:t>• 미국 본사 공인 엔지니어링 인증 및 데모 랩 운영비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연간 고정비 약 10억 ~ 12억 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건당 사업 순마진</w:t>
              <w:br/>
              <w:t>(Unit Margin)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• SambaRack 어플라이언스 및 플랫폼 구축 공급 마진</w:t>
              <w:br/>
              <w:t>• 대규모 구축 건당 평균 순마진 약 1.5억 ~ 2.5억 원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건당 순마진 약 2.0억 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국내 시장 수주 현실</w:t>
              <w:br/>
              <w:t>(Annual Pipeline)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• 10억 원 이상 RDU 전용 랙 도입 가능한 국내 엔터프라이즈 극소수</w:t>
              <w:br/>
              <w:t>• 1차년도 보수적 예상 수주: 연간 0 ~ 1건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4F6F9"/>
          </w:tcPr>
          <w:p>
            <w:r>
              <w:rPr>
                <w:rFonts w:ascii="맑은 고딕" w:hAnsi="맑은 고딕"/>
                <w:color w:val="222222"/>
                <w:sz w:val="15"/>
              </w:rPr>
              <w:t>1차년도 매출 이익 약 0 ~ 2억 원</w:t>
              <w:br/>
              <w:t>(연간 8~10억 적자 발생)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b/>
                <w:color w:val="07090E"/>
                <w:sz w:val="15"/>
              </w:rPr>
              <w:t>예상 BEP 도달 기간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color w:val="222222"/>
                <w:sz w:val="15"/>
              </w:rPr>
              <w:t>연간 고정비(11억) 회수를 위해 연간 최소 5~6대 이상 지속 수주 필요</w:t>
              <w:br/>
              <w:t>➔ 단기간 내 달성 불가능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/>
                <w:b/>
                <w:color w:val="CC0000"/>
                <w:sz w:val="15"/>
              </w:rPr>
              <w:t>최소 3년 ~ 4년 이상 소요</w:t>
              <w:br/>
              <w:t>(1년 내 달성 불가 ➔ 부정적)</w:t>
            </w:r>
          </w:p>
        </w:tc>
      </w:tr>
    </w:tbl>
    <w:p>
      <w:pPr>
        <w:spacing w:after="120" w:line="288" w:lineRule="auto"/>
      </w:pPr>
      <w:r>
        <w:rPr>
          <w:rFonts w:ascii="맑은 고딕" w:hAnsi="맑은 고딕"/>
          <w:color w:val="222222"/>
          <w:sz w:val="18"/>
        </w:rPr>
        <w:t>• 200여 가지 ISV 파트너 재평가 기준 적용: 경쟁력, 시장 성장성, 매출 기여도를 기준으로 200여 개 파트너십을 엄격히 정예화했듯이, 기술적으로 문제가 없더라도 BEP가 1년 단위 이상 소요(3~4년)되는 신규 솔루션은 비즈니스 편입에 대해 부정적으로 평가합니다.</w:t>
        <w:br/>
        <w:t>• 현재 상태 규정: 현재 SambaNova는 '단순 기술적 검토(Technical Exploration)' 단계로 동결하며, 신규 전담 조직 셋업이나 공식 솔루션 추가는 전면 보류합니다.</w:t>
      </w:r>
    </w:p>
    <w:p>
      <w:pPr>
        <w:spacing w:before="360" w:after="60"/>
      </w:pPr>
      <w:r>
        <w:rPr>
          <w:rFonts w:ascii="맑은 고딕" w:hAnsi="맑은 고딕"/>
          <w:b/>
          <w:color w:val="FF5E14"/>
          <w:sz w:val="26"/>
        </w:rPr>
        <w:t xml:space="preserve">제 5 장. </w:t>
      </w:r>
      <w:r>
        <w:rPr>
          <w:rFonts w:ascii="맑은 고딕" w:hAnsi="맑은 고딕"/>
          <w:b/>
          <w:color w:val="07090E"/>
          <w:sz w:val="26"/>
        </w:rPr>
        <w:t>MZC AI Full Stack 합류 및 총판 사업 타당성 판단</w:t>
      </w:r>
    </w:p>
    <w:p>
      <w:pPr>
        <w:spacing w:after="200"/>
      </w:pPr>
      <w:r>
        <w:rPr>
          <w:rFonts w:ascii="맑은 고딕" w:hAnsi="맑은 고딕"/>
          <w:color w:val="555555"/>
          <w:sz w:val="18"/>
        </w:rPr>
        <w:t>— 프레임워크 파편화 방지, 분기 100억 총판 허들 및 H/W 직접 핸들링 배제</w:t>
      </w:r>
    </w:p>
    <w:p>
      <w:pPr>
        <w:spacing w:before="200" w:after="80"/>
      </w:pPr>
      <w:r>
        <w:rPr>
          <w:rFonts w:ascii="맑은 고딕" w:hAnsi="맑은 고딕"/>
          <w:b/>
          <w:color w:val="07090E"/>
          <w:sz w:val="20"/>
        </w:rPr>
        <w:t>■ 1. 솔루션 프레임워크 파편화 방지 및 공식 편입 부정적</w:t>
      </w:r>
    </w:p>
    <w:p>
      <w:pPr>
        <w:spacing w:after="120" w:line="288" w:lineRule="auto"/>
      </w:pPr>
      <w:r>
        <w:rPr>
          <w:rFonts w:ascii="맑은 고딕" w:hAnsi="맑은 고딕"/>
          <w:color w:val="222222"/>
          <w:sz w:val="18"/>
        </w:rPr>
        <w:t>• 프레임워크 파편화 리스크: 독자 RDU 칩셋 및 전용 SambaRack을 표준 스택에 편입할 경우, 기존 NVIDIA CUDA 중심 표준 아키텍처와 이원화되어 엔지니어링 리소스가 파편화됩니다.</w:t>
        <w:br/>
        <w:t>• 분기 100억 원 총판 허들 미달: MZC 총판 비즈니스 편입 기준(분기 100억 원 이상)에 크게 미달하며, BEP 도달 기간이 1년 이상 소요되므로 총판 사업 편입은 불가합니다.</w:t>
        <w:br/>
        <w:t>• 하드웨어 직접 핸들링 배제: MZC가 실물 SambaRack 수입·재고·AS를 직접 담당하는 위험은 원천 차단합니다.</w:t>
      </w:r>
    </w:p>
    <w:p>
      <w:pPr>
        <w:spacing w:before="200" w:after="80"/>
      </w:pPr>
      <w:r>
        <w:rPr>
          <w:rFonts w:ascii="맑은 고딕" w:hAnsi="맑은 고딕"/>
          <w:b/>
          <w:color w:val="07090E"/>
          <w:sz w:val="20"/>
        </w:rPr>
        <w:t>■ 2. Dell / NVIDIA 공인 총판 지위 활용에 집중</w:t>
      </w:r>
    </w:p>
    <w:p>
      <w:pPr>
        <w:spacing w:after="120" w:line="288" w:lineRule="auto"/>
      </w:pPr>
      <w:r>
        <w:rPr>
          <w:rFonts w:ascii="맑은 고딕" w:hAnsi="맑은 고딕"/>
          <w:color w:val="222222"/>
          <w:sz w:val="18"/>
        </w:rPr>
        <w:t>• 기존 핵심 총판 역량 레버리지: MZC가 이미 공인 총판 지위를 확보하고 있는 Dell PowerEdge 서버 및 NVIDIA GPU 표준 라인업에 모든 영업 및 엔지니어링 역량을 집중합니다.</w:t>
        <w:br/>
        <w:t>• 특수 고객 제한적 연계: JPMorgan 사례처럼 금융사 등에서 SambaNova를 콕 집어 요구하는 특수 사이트에 한하여, 물리 H/W는 서드파티 파트너(Unitrontech 등)가 납품하고 MZC는 S/W SI로만 선별 대응합니다.</w:t>
      </w:r>
    </w:p>
    <w:p>
      <w:pPr>
        <w:spacing w:before="360" w:after="60"/>
      </w:pPr>
      <w:r>
        <w:rPr>
          <w:rFonts w:ascii="맑은 고딕" w:hAnsi="맑은 고딕"/>
          <w:b/>
          <w:color w:val="FF5E14"/>
          <w:sz w:val="26"/>
        </w:rPr>
        <w:t xml:space="preserve">제 6 장. </w:t>
      </w:r>
      <w:r>
        <w:rPr>
          <w:rFonts w:ascii="맑은 고딕" w:hAnsi="맑은 고딕"/>
          <w:b/>
          <w:color w:val="07090E"/>
          <w:sz w:val="26"/>
        </w:rPr>
        <w:t>종합 결론 및 전략적 의사결정 가이드라인</w:t>
      </w:r>
    </w:p>
    <w:p>
      <w:pPr>
        <w:spacing w:after="200"/>
      </w:pPr>
      <w:r>
        <w:rPr>
          <w:rFonts w:ascii="맑은 고딕" w:hAnsi="맑은 고딕"/>
          <w:color w:val="555555"/>
          <w:sz w:val="18"/>
        </w:rPr>
        <w:t>— Dell/NVIDIA 총판 비즈니스 집중 및 H/W 직접 핸들링 배제</w:t>
      </w:r>
    </w:p>
    <w:p>
      <w:pPr>
        <w:spacing w:after="100"/>
      </w:pPr>
      <w:r>
        <w:rPr>
          <w:rFonts w:ascii="맑은 고딕" w:hAnsi="맑은 고딕"/>
          <w:b/>
          <w:color w:val="07090E"/>
          <w:sz w:val="17"/>
        </w:rPr>
        <w:t xml:space="preserve">• 1. 현재 상태 규정: '단순 기술적 검토' 단계로 유지: </w:t>
      </w:r>
      <w:r>
        <w:rPr>
          <w:rFonts w:ascii="맑은 고딕" w:hAnsi="맑은 고딕"/>
          <w:color w:val="222222"/>
          <w:sz w:val="17"/>
        </w:rPr>
        <w:t>250+ Tok/s Fast Decode의 기술적 우수성은 확인하였으나, BEP 1년 초과(3~4년) 및 전담 조직 셋업 부담으로 인해 MZC 공식 솔루션 편입은 부정적(보류)으로 결론</w:t>
      </w:r>
    </w:p>
    <w:p>
      <w:pPr>
        <w:spacing w:after="100"/>
      </w:pPr>
      <w:r>
        <w:rPr>
          <w:rFonts w:ascii="맑은 고딕" w:hAnsi="맑은 고딕"/>
          <w:b/>
          <w:color w:val="07090E"/>
          <w:sz w:val="17"/>
        </w:rPr>
        <w:t xml:space="preserve">• 2. Dell / NVIDIA 공인 총판 사업에 전사 역량 집중 (Core Business First): </w:t>
      </w:r>
      <w:r>
        <w:rPr>
          <w:rFonts w:ascii="맑은 고딕" w:hAnsi="맑은 고딕"/>
          <w:color w:val="222222"/>
          <w:sz w:val="17"/>
        </w:rPr>
        <w:t>솔루션 프레임워크 파편화를 방지하고, 메가존클라우드의 핵심 강점인 Dell PowerEdge + NVIDIA 표준 엔터프라이즈 인프라 비즈니스에 전사 역량 집중</w:t>
      </w:r>
    </w:p>
    <w:p>
      <w:pPr>
        <w:spacing w:after="100"/>
      </w:pPr>
      <w:r>
        <w:rPr>
          <w:rFonts w:ascii="맑은 고딕" w:hAnsi="맑은 고딕"/>
          <w:b/>
          <w:color w:val="07090E"/>
          <w:sz w:val="17"/>
        </w:rPr>
        <w:t xml:space="preserve">• 3. H/W 직접 핸들링 배제 및 선별적 서드파티 파트너 연계: </w:t>
      </w:r>
      <w:r>
        <w:rPr>
          <w:rFonts w:ascii="맑은 고딕" w:hAnsi="맑은 고딕"/>
          <w:color w:val="222222"/>
          <w:sz w:val="17"/>
        </w:rPr>
        <w:t>MZC의 하드웨어 직접 총판/유통은 추진하지 않으며, 고객사 특수 요청 시에만 전문 H/W 수입 파트너를 통한 서드파티 납품 연계로 위험 통제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