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Enterprise AI Solution Packages Proposal Portal</w:t>
      </w:r>
    </w:p>
    <w:p>
      <w:pPr>
        <w:jc w:val="center"/>
      </w:pPr>
      <w:r>
        <w:rPr>
          <w:rFonts w:ascii="맑은 고딕" w:hAnsi="맑은 고딕"/>
          <w:b/>
          <w:color w:val="00ABF0"/>
          <w:sz w:val="20"/>
        </w:rPr>
        <w:t>[ Enterprise AI Solution Proposal Portal ]</w:t>
      </w:r>
    </w:p>
    <w:p>
      <w:pPr>
        <w:pStyle w:val="Heading1"/>
      </w:pPr>
      <w:r>
        <w:rPr>
          <w:rFonts w:ascii="맑은 고딕" w:hAnsi="맑은 고딕"/>
          <w:color w:val="00ABF0"/>
          <w:sz w:val="36"/>
        </w:rPr>
        <w:t>AI Full Stack 시범 솔루션 제안서 포털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t>Red Hat &amp; Intel 10월/11월 행사 부스 전시 Pilot Solution, 기업 문서 파이프라인 및 코딩 에이전트 통합 제안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엔비디아 AI 팩토리 5계층</w:t>
      </w:r>
      <w:r>
        <w:rPr>
          <w:rFonts w:ascii="맑은 고딕" w:hAnsi="맑은 고딕"/>
          <w:color w:val="000000"/>
          <w:sz w:val="20"/>
        </w:rPr>
        <w:t>: DGX SuperPOD / Spectrum-X / DGX OS / Run:ai / NVAIE / NIM / NeMo Framework 심층 해부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MZC 소버린 7-Layer AI</w:t>
      </w:r>
      <w:r>
        <w:rPr>
          <w:rFonts w:ascii="맑은 고딕" w:hAnsi="맑은 고딕"/>
          <w:color w:val="000000"/>
          <w:sz w:val="20"/>
        </w:rPr>
        <w:t>: Nutanix NCI(무상 AHV) + NKP / Red Hat OpenShift AI / Databricks / Zero-Trust 완전 폐쇄망(Air-Gap)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7대 핵심 레이어 1:1 정밀 비교 &amp; TCO 최적화</w:t>
      </w:r>
      <w:r>
        <w:rPr>
          <w:rFonts w:ascii="맑은 고딕" w:hAnsi="맑은 고딕"/>
          <w:color w:val="000000"/>
          <w:sz w:val="20"/>
        </w:rPr>
        <w:t>: VMware 대체, 클라우드 송환(Repatriation), 11단계 Small Start/Fast Start 로드맵</w:t>
        <w:br/>
        <w:t xml:space="preserve">        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10월 Red Hat 행사</w:t>
      </w:r>
      <w:r>
        <w:rPr>
          <w:rFonts w:ascii="맑은 고딕" w:hAnsi="맑은 고딕"/>
          <w:color w:val="000000"/>
          <w:sz w:val="20"/>
        </w:rPr>
        <w:t>: OpenShift AI (SNO) 기반 Coding Agent &amp; MCP 연동 데모 (AWS ROSA Cloud 350만 원)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11월 Intel 행사</w:t>
      </w:r>
      <w:r>
        <w:rPr>
          <w:rFonts w:ascii="맑은 고딕" w:hAnsi="맑은 고딕"/>
          <w:color w:val="000000"/>
          <w:sz w:val="20"/>
        </w:rPr>
        <w:t>: Intel Gaudi 2/3 &amp; Articul8 AI 기반 CAD 도면/센서 예지보전 데모 (AWS DL1 Cloud 400만 원)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초저가 실물 PoC Suit vs AWS/GCP 터미널 시연 방식 비교 및 MVP 개발 예산 산출서</w:t>
        <w:br/>
        <w:t xml:space="preserve">        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기업 보유 문서를 파이프라인 태워 저장하고 사내 업무를 지원하는 RAG 시스템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RTX Pro Blackwell 공랭식 → B200 Air → DLC (Direct Liquid Cooling - 수랭식) 3단계 GPU 확장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Cohere/Articul8 연동 + Red Hat OS/RHOAI + LVM/MinIO → Ceph 확장 + Observability 별 견적</w:t>
        <w:br/>
        <w:t xml:space="preserve">        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RHEL + RHOAI + Qwen2.5-Coder 기반 보안 완결형 사내 코딩 시스템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MCP (Model Context Protocol) 및 Continue.dev IDE / Jupyter / VS Code / Agentic CLI 연동 SI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Codex, Claude Code, Antigravity CLI MCP 연동 기술 검증</w:t>
      </w:r>
      <w:r>
        <w:rPr>
          <w:rFonts w:ascii="맑은 고딕" w:hAnsi="맑은 고딕"/>
          <w:color w:val="000000"/>
          <w:sz w:val="20"/>
        </w:rPr>
        <w:t xml:space="preserve"> &amp; 사용자 규모별(10명~1,000명) 예산표</w:t>
        <w:br/>
        <w:t xml:space="preserve">        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Intel 스핀오프 GenAI 플랫폼: </w:t>
      </w:r>
      <w:r>
        <w:rPr>
          <w:rFonts w:ascii="맑은 고딕" w:hAnsi="맑은 고딕"/>
          <w:b/>
          <w:color w:val="000000"/>
          <w:sz w:val="20"/>
        </w:rPr>
        <w:t>Model Mesh Orchestrator &amp; Knowledge Graph Substrate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적용 분야</w:t>
      </w:r>
      <w:r>
        <w:rPr>
          <w:rFonts w:ascii="맑은 고딕" w:hAnsi="맑은 고딕"/>
          <w:color w:val="000000"/>
          <w:sz w:val="20"/>
        </w:rPr>
        <w:t>: 스마트 제조 CAD 도면 해석, 플랜트 센서 예지보전, 금융 컴플라이언스 심사, 방산 에어갭 정비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최소 사양 &amp; 예산</w:t>
      </w:r>
      <w:r>
        <w:rPr>
          <w:rFonts w:ascii="맑은 고딕" w:hAnsi="맑은 고딕"/>
          <w:color w:val="000000"/>
          <w:sz w:val="20"/>
        </w:rPr>
        <w:t>: Intel Gaudi 2/3 및 4x Blackwell 60GB 기반 1년 TCO 약 3.8억~3.9억 원</w:t>
        <w:br/>
        <w:t xml:space="preserve">        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2026년 에이전틱 AI (Agentic Workflows) &amp; 소버린 AI 동향 반영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패키지 #3</w:t>
      </w:r>
      <w:r>
        <w:rPr>
          <w:rFonts w:ascii="맑은 고딕" w:hAnsi="맑은 고딕"/>
          <w:color w:val="000000"/>
          <w:sz w:val="20"/>
        </w:rPr>
        <w:t>: Governed CS &amp; ITSM Support Agent (권한 인지 Permission RAG)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</w:t>
      </w:r>
      <w:r>
        <w:rPr>
          <w:rFonts w:ascii="맑은 고딕" w:hAnsi="맑은 고딕"/>
          <w:b/>
          <w:color w:val="000000"/>
          <w:sz w:val="20"/>
        </w:rPr>
        <w:t>패키지 #4</w:t>
      </w:r>
      <w:r>
        <w:rPr>
          <w:rFonts w:ascii="맑은 고딕" w:hAnsi="맑은 고딕"/>
          <w:color w:val="000000"/>
          <w:sz w:val="20"/>
        </w:rPr>
        <w:t>: Autonomous Multi-Agent DevOps &amp; Security Auditor (보안 감사 에이전트)</w:t>
        <w:br/>
        <w:t xml:space="preserve">        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br/>
        <w:t xml:space="preserve">          • 전체 5개 단계별 TCO 예산안 (상용 H100 10.8억 원 ~ 코딩전용 PoC 9,800만 원) 종합 비교표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Single Node OpenShift (SNO) 기술 검증, Cohere 양자화, vLLM KServe YAML 스크립트 모음</w:t>
      </w:r>
      <w:r>
        <w:br/>
      </w:r>
      <w:r>
        <w:rPr>
          <w:rFonts w:ascii="맑은 고딕" w:hAnsi="맑은 고딕"/>
          <w:color w:val="000000"/>
          <w:sz w:val="20"/>
        </w:rPr>
        <w:br/>
        <w:t xml:space="preserve">          • SAGE (Semantic/Agentic Engine) 연동 파이프라인 전체 아키텍처</w:t>
        <w:br/>
        <w:t xml:space="preserve">        </w:t>
      </w:r>
    </w:p>
    <w:p>
      <w:pPr>
        <w:spacing w:before="400"/>
        <w:jc w:val="center"/>
      </w:pPr>
      <w:r>
        <w:rPr>
          <w:color w:val="8B95B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color w:val="8B95B5"/>
          <w:sz w:val="16"/>
        </w:rPr>
        <w:t>Dell / NVIDIA / Intel / Red Hat OpenShift AI Proposal Portal © 2026 AI Architecture Engineering Team.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