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2B49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D100"/>
                <w:sz w:val="20"/>
              </w:rPr>
              <w:t>UCLA ANDERSON EXECUTIVE MBA DELEGATION VISIT | SEOUL 2026</w:t>
            </w:r>
          </w:p>
          <w:p>
            <w:pPr>
              <w:spacing w:before="160" w:after="80"/>
            </w:pPr>
            <w:r>
              <w:rPr>
                <w:rFonts w:ascii="Arial" w:hAnsi="Arial"/>
                <w:b/>
                <w:color w:val="FFFFFF"/>
                <w:sz w:val="40"/>
              </w:rPr>
              <w:t>Korea's Sovereign AI Strategy: From Silicon to Enterprise Applications</w:t>
            </w:r>
          </w:p>
          <w:p>
            <w:r>
              <w:rPr>
                <w:rFonts w:ascii="Arial" w:hAnsi="Arial"/>
                <w:color w:val="C8DCF5"/>
                <w:sz w:val="24"/>
              </w:rPr>
              <w:t>30-Slide Executive Presentation Deck &amp; Speaker Delivery Guide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4F7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003B5C"/>
                <w:sz w:val="19"/>
              </w:rPr>
              <w:t xml:space="preserve">Date &amp; Time: </w:t>
            </w:r>
            <w:r>
              <w:rPr>
                <w:sz w:val="19"/>
              </w:rPr>
              <w:t>Friday, September 11, 2026 | 10:00 - 11:30 AM KST</w:t>
            </w:r>
          </w:p>
        </w:tc>
        <w:tc>
          <w:tcPr>
            <w:tcW w:type="dxa" w:w="4968"/>
            <w:shd w:fill="E9EE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003B5C"/>
                <w:sz w:val="19"/>
              </w:rPr>
              <w:t xml:space="preserve">Venue: </w:t>
            </w:r>
            <w:r>
              <w:rPr>
                <w:sz w:val="19"/>
              </w:rPr>
              <w:t>MegazoneCloud Gwacheon HQ, 2F Grand Conference Room</w:t>
            </w:r>
          </w:p>
        </w:tc>
      </w:tr>
      <w:tr>
        <w:tc>
          <w:tcPr>
            <w:tcW w:type="dxa" w:w="4968"/>
            <w:shd w:fill="E9EE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003B5C"/>
                <w:sz w:val="19"/>
              </w:rPr>
              <w:t xml:space="preserve">Target Audience: </w:t>
            </w:r>
            <w:r>
              <w:rPr>
                <w:sz w:val="19"/>
              </w:rPr>
              <w:t>UCLA Anderson EMBA (44 Executives + 6 Faculty/Staff)</w:t>
            </w:r>
          </w:p>
        </w:tc>
        <w:tc>
          <w:tcPr>
            <w:tcW w:type="dxa" w:w="4968"/>
            <w:shd w:fill="F4F7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003B5C"/>
                <w:sz w:val="19"/>
              </w:rPr>
              <w:t xml:space="preserve">Speaker &amp; Unit: </w:t>
            </w:r>
            <w:r>
              <w:rPr>
                <w:sz w:val="19"/>
              </w:rPr>
              <w:t>Andy | ISV Business Unit &amp; AI Architecture Group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01  |  PART 1: MACRO CONTEXT &amp; IMPERATIVE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Title &amp; Welcome: Korea Sovereign AI Strategy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Unlocking Strategic Autonomy, Native Infrastructure, and Scalable Transformation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Welcome to MegazoneCloud Gwacheon HQ for the UCLA Anderson EMBA Seoul Immersion.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South Korea is one of only three countries with an end-to-end native AI full stack.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Bridging world-class semiconductor hardware (NPU/HBM) with enterprise sovereign software.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Futuristic visual blending Seoul skyline, AI neural nodes, and enterprise server racks.</w:t>
            </w:r>
          </w:p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559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01_cover_sovereign_ai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55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[0:00 - 0:30]: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"Good morning, faculty and executives of UCLA Anderson EMBA. On behalf of MegazoneCloud, welcome to our Gwacheon HQ. Today, we present South Korea's sovereign AI playbook—from silicon to enterprise software."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02  |  PART 1: MACRO CONTEXT &amp; IMPERATIVE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Welcome UCLA Anderson EMBA: Objectives &amp; Agenda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Today's 15-Minute Executive Briefing &amp; Collaborative Exchange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Understanding the geopolitical, financial, and technical drivers behind Sovereign AI.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4-Pillar Strategic Framework: Infrastructure -&gt; Model -&gt; Solution -&gt; Service.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MegazoneCloud's playbook: Scaling from Korea's #1 Cloud Unicorn to global AI orchestrator.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Contextualizing with your Seoul visits: Samsung, DEEPX, Amorepacific, and Invest Seoul.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Flow diagram showing 3-stage presentation breakdown and interactive Q&amp;A roadmap.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[0:30 - 1:00]: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"Over the next 15 minutes, we will unpack why sovereign AI is an urgent commercial reality and how Korea provides an actionable template for global enterprise leaders."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03  |  PART 1: MACRO CONTEXT &amp; IMPERATIVE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Geopolitics of AI: Why 'Sovereignty' Matters in 2026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From AI Experimentation to Strategic Operational Autonomy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AI Duopoly Threat: Over-reliance on foreign hyperscalers exposes firms to price spikes, outage risks, and lock-in.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Sovereign AI 2.0 Defined: 'Operational Sovereignty' and 'Access Autonomy'—ensuring mission-critical systems run offline.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Regulatory Compliance: Stringent data residency laws (EU AI Act, Korea PIPA, Financial Cloud Directives).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Comparison matrix: Cloud SaaS API Risks vs. Air-Gapped Sovereign AI Enterprise Benefits.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[1:00 - 1:30]: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"In 2026, the question is no longer 'Which API is smartest?' but 'Who owns our intelligence? If cross-border connections drop, can our business still operate?'"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04  |  PART 1: MACRO CONTEXT &amp; IMPERATIVE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South Korea's Unique Position: The World's 3rd AI Powerhouse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A Rare Convergence of Semiconductor, Software, and Heavy Industry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Elite Global Trio: Only US, China, and South Korea possess complete end-to-end AI capabilities.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Hardware Dominance: World's leading memory/HBM manufacturing (Samsung Electronics, SK Hynix).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Digital Platforms &amp; Models: Domestic tech giants (Naver, Kakao) beating global platforms locally.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'G3 Ambition': Formal government roadmap to become a Global Top 3 AI Powerhouse by 2027.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Global map highlighting US, China, and Korea with 4-layer full-stack capability indicators.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[1:30 - 2:00]: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"Korea possesses the entire physical and digital vertical stack. We build the memory chips, host native search engines, and manufacture ships, cars, and consumer electronics."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05  |  PART 1: MACRO CONTEXT &amp; IMPERATIVE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Enterprise Trilemma: Capex, Power, and Data Sovereignty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Hard Physical Bottlenecks Stalling On-Premises Deployments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Financial Shock (Capex): 8-GPU servers cost $400K-$500K each with unpredictable delivery cycles.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Physical Power Cap: 90% of corporate datacenter racks are limited to 8-10kW; 8-GPU servers draw 10.2kW.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Data Exfiltration Risk: Defense, banking, and semiconductor fabs strictly forbid transmitting IP to public clouds.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Trilemma diagram: High Capex vs. 10kW Rack Power Limit vs. Air-Gapped Security Requirements.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[2:00 - 2:30]: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"When enterprise CTOs attempt to run 250B parameter models on-premises, they hit an electrical brick wall. Overcoming this physical trilemma is our primary engineering focus."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06  |  PART 1: MACRO CONTEXT &amp; IMPERATIVE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4-Pillar Framework: Infra, Model, Solution, Service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Unified Architecture of National &amp; Enterprise AI Independence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Pillar 1 (Infrastructure): Compute clusters, public AI highway, and native NPU semiconductors.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Pillar 2 (Model): Sovereign Korean foundation models, domain sLLMs, and Mixture-of-Experts (MoE).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Pillar 3 (Solution): Full-stack orchestration, air-gapped security, and model optimization compilers.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Pillar 4 (Service): Cross-industry deployment across Chaebols, SMEs, and public administrative sectors.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4-Layer architectural pyramid highlighting synchronized execution across government and private sector.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[2:30 - 3:00]: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"Sovereignty fails if any single layer is missing. Korea's strategy coordinates all 4 pillars synchronously to deliver commercial and operational success."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07  |  PART 2: PILLAR 1 - INFRASTRUCTURE &amp; SILICON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National AI Computing Center: The Public-Private 'AI Highway'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A Multi-Billion Dollar Sovereign Compute Megaproject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Solaseado Datacenter Park: Broken ground in August 2026 in Haenam, South Jeolla Province.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Public-Private Consortium: Led by MSIT and Samsung SDS via a dedicated Special Purpose Company (SPC).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National Compute Bedrock: Subsidizing massive compute access for universities, startups, and domestic industry.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Architectural rendering of Haenam Solaseado datacenter campus with green energy grid connections.</w:t>
            </w:r>
          </w:p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559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07_infra_knpu_datacente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55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[3:00 - 3:30]: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"Pillar 1 begins with compute. In August 2026, Korea broke ground on the National AI Computing Center in Haenam, ensuring domestic industry is protected from international GPU supply crunches."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08  |  PART 2: PILLAR 1 - INFRASTRUCTURE &amp; SILICON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Compute Capacity Scaling: 15,000 GPUs to 50,000 GPUs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Exponential Trajectory of Public Compute Infrastructure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Phase 1 (2026 - 2028): Initial deployment of 15,000 top-tier AI accelerators (H100/B200 tier).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Phase 2 (2029 - 2030+): Expansion to 50,000+ accelerators integrated with coastal offshore wind power.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Sovereign Resource Allocation: Tiered vouchers enabling rapid model training without predatory cloud pricing.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Growth chart showing GPU capacity scaling from 15K to 50K units by 2030 with power efficiency curves.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[3:30 - 4:00]: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"Reaching 15,000 accelerators by 2028 and 50,000 by 2030 establishes a fortress of compute capacity that underpins national digital sovereignty."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09  |  PART 2: PILLAR 1 - INFRASTRUCTURE &amp; SILICON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Rise of K-NPU: The 'K-Cloud' Initiative &amp; NPU Farms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Disrupting the AI Inference Landscape with High-Efficiency Silicon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K-Cloud Initiative: Over $600M in national backing to develop ultra-low-power AI semiconductors.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80/20 Rule: While model training requires GPUs, over 80% of operational enterprise TCO is inference.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NPU Farms in Action: Live multi-petaflop clusters deployed across Naver, KT, and NHN Cloud datacenters.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Inference TCO comparison: K-NPU vs. Traditional GPU showing power and cost savings.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[4:00 - 4:30]: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"Up to 80% of enterprise AI costs are inference. Korea's K-Cloud project deploys native NPUs specifically engineered to execute inference at a fraction of standard GPU power."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10  |  PART 2: PILLAR 1 - INFRASTRUCTURE &amp; SILICON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Korea's Fabless Champions: Rebellions, FuriosaAI, DEEPX, Mobilint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Purpose-Built Silicon Across Datacenter, Edge, and Robotics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Rebellions (ATOM / ATOM-MAX): High-throughput datacenter inference and financial algorithmic trading.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FuriosaAI (WARBOY / RENEGADE): High-efficiency computer vision and Transformer model acceleration.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DEEPX (All-in-4 AI Series): Ultra-low-power on-device NPU for smart mobility, IoT, and industrial robotics (On UCLA Itinerary!).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Mobilint (ARIES / REGULUS): Edge AI solutions for industrial automation.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Silicon ecosystem landscape mapping Korean fabless startups across Datacenter, Edge, and On-Device tiers.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[4:30 - 5:00]: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"Many of you are visiting DEEPX this week. DEEPX, Rebellions, and FuriosaAI are not mimicking GPUs; they are building purpose-driven architectures that win on efficiency."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11  |  PART 2: PILLAR 1 - INFRASTRUCTURE &amp; SILICON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Enterprise Hybrid Cloud &amp; GPUaaS: Dell, NVIDIA, and Akamai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Balancing Tier-1 Global Standards with Modular Sovereign Clouds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Mainstream Enterprise Track: Dell PowerEdge R760 + NVIDIA GPUs for on-premise high performance.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Cost-Optimized GPUaaS: Partnership with Akamai Distributed Cloud for sub-millisecond edge inferencing at 40% lower egress.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Hybrid Topology: Sensitive proprietary IP kept strictly on-premises; public workloads burst to sovereign cloud.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Hybrid network architecture showing Dell On-Premises core connected to Akamai GPUaaS edge nodes.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[5:00 - 5:30]: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"Sovereignty is not isolation. MegazoneCloud delivers certified Dell and NVIDIA enterprise stacks while leveraging distributed GPUaaS partnerships like Akamai to optimize client TCO."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12  |  PART 2: PILLAR 1 - INFRASTRUCTURE &amp; SILICON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Overcoming Data Center Bottlenecks: 10kW Rack Power &amp; Cooling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Engineering Feasibility in Existing Corporate Server Rooms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Datacenter Bottleneck: Retrofitting legacy server rooms with liquid cooling costs millions and causes downtime.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Dense 2-GPU Form Factor: High-efficiency 2U dual-GPU architecture delivering enterprise-grade throughput.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Power Feasibility: Operating power capped at 3.2kW, safely within standard 10kW datacenter rack limits.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Server rack diagram showing 3.2kW 2-GPU server fitting comfortably into standard 10kW rack space.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[5:30 - 6:00]: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"Our dual-GPU dense form factor caps power draw at 3.2kW. Enterprises can deploy sovereign AI in their existing server rooms tomorrow without electrical rewiring."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13  |  PART 3: PILLAR 2 - FOUNDATION MODELS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Korea's Foundation Model Landscape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Native Linguistic Mastery and Frontier Enterprise Intelligence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Naver HyperCLOVA X: Dominant commercial hyper-scale model trained on 6,500x more Korean data than GPT-3.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LG AI Research EXAONE 3.0: High-performance bilingual open-weight model engineered for chemistry, patents, and manufacturing.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Upstage Solar: Globally acclaimed sLLM leading HuggingFace benchmarks via innovative Depth-Up Scaling (DUS).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Logo and performance matrix comparing HyperCLOVA X, EXAONE 3.0, and Solar across enterprise benchmarks.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[6:00 - 6:30]: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"Pillar 2: Models. Korea does not rely solely on translated foreign LLMs. Naver, LG, and Upstage engineer native models with deep linguistic and contextual nuance."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14  |  PART 3: PILLAR 2 - FOUNDATION MODELS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Shift from Frontier Monoliths to Domain-Specific sLLM &amp; MoE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Why Smaller, Specialized Models are Winning the Enterprise War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Death of Monoliths: 1-Trillion parameter models are too slow and costly for private on-premises hosting.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Mixture-of-Experts (MoE): Activating only 20B-30B parameters out of 250B per token query.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Enterprise Advantages: Deterministic latency (&lt;50ms), lower compute overhead, and complete lifecycle ownership.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Diagram contrasting Monolithic Dense Activation vs. Efficient Mixture-of-Experts (MoE) Routing.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[6:30 - 7:00]: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"While public headlines celebrate trillion-parameter models, enterprise CFOs look at transaction costs. Domain sLLMs and MoE architectures deliver higher accuracy at a fraction of the cost."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15  |  PART 3: PILLAR 2 - FOUNDATION MODELS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Cultural, Linguistic &amp; Regulatory Alignment: The Sovereign Moat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Severe Cost of Cultural Hallucination in Corporate Workflows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Honorific Precision (Jondaetmal): Korean corporate communication requires exact contextual politeness.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Statutory Exactness: Korean Commercial Code, labor laws, and tax regulations require precise citation.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Compliance Verification: Sovereign models achieve 99.2% regulatory accuracy vs. ~71% for off-the-shelf global APIs.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Side-by-side comparison of cultural and legal output accuracy: Global API vs. Sovereign Korean Model.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[7:00 - 7:30]: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"In corporate Korea, an inappropriate honorific can jeopardize client relationships. Sovereign models are trained natively in Korean corporate etiquette and statutory legal codes."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16  |  PART 3: PILLAR 2 - FOUNDATION MODELS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Model Optimization: INT4/NVFP4 Quantization &amp; Pruning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Compressing Frontier Models into Compact Workstation Footprints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Lossless Quantization: Compressing FP16 weights down to INT4 and NVFP4 with under 1.5% perplexity loss.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Non-Uniform Pruning: Surgically eliminating inactive attention heads tailored to specific enterprise domains.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Measurable Impact: Memory footprint slashed by 70%, token generation increased from 18 to 65+ tokens/second.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Performance graph showing throughput jump (tokens/sec) and VRAM reduction across INT4/FP16 formats.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[7:30 - 8:00]: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"By applying INT4 and NVFP4 quantization, we shrink model memory requirements by 70% and triple throughput, allowing large models to run on affordable dual-GPU servers."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17  |  PART 3: PILLAR 2 - FOUNDATION MODELS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Physical &amp; Edge AI: Small Vision-Language-Action (VLA) Models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Extending Sovereign Intelligence into Manufacturing and Smart Cities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SmolVLA &amp; Compact Multimodal: Enabling robotic arms and AGVs to interpret physical environments locally.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Intelligent Transport Systems (ITS): Nota.ai smart traffic edge controllers deployed across 200 intersections in Daejeon and Dubai RTA.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Zero Cloud Latency: Real-time visual defect detection and signal optimization at 30 FPS.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Case illustration: Edge AI controller in smart factory robotic arm and smart city intersection.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[8:00 - 8:30]: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"Sovereign AI extends into the physical world. By embedding Small Vision-Language-Action models into edge hardware, we automate factory robotics and smart city traffic in real time."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18  |  PART 4: PILLAR 3 - SOLUTIONS &amp; ORCHESTRATION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Enterprise Missing Link: Why 85% of AI PoCs Stall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Bridging the Chasm Between Prototype Demos and Production Workflows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Hardware Mismatch: Cloud-built prototypes fail when transitioned to corporate datacenter servers.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Data Silos: Fragmented corporate data locked in legacy ERPs, internal PDFs, and legacy databases.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Security Void: Absence of enterprise-grade hallucination guardrails, audit logging, and role-based access control.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Pipeline diagram showing PoC failure points and MegazoneCloud's end-to-end bridge to production.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[8:30 - 9:00]: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"85% of enterprise AI projects stall in prototype phase because integrating chips, models, databases, and compliance is overwhelming. That is the missing link MegazoneCloud resolves."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19  |  PART 4: PILLAR 3 - SOLUTIONS &amp; ORCHESTRATION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MegazoneCloud's 4-Layer Enterprise AI Full-Stack Architecture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Standardized, Modular Operating Blueprint for Enterprise AI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Layer 4 (Applications): Air-Gapped RAG, AI Coding Agents, Executive Decision Portals.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Layer 3 (Model Serving): Nota NetsPresso optimization engine, vLLM, and Triton inference.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Layer 2 (Platform): Red Hat OpenShift AI (RHOAI) and Nutanix Cloud Infrastructure (NCI).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Layer 1 (Hardware): Dell PowerEdge R760, NVIDIA H100 GPUs, and certified K-NPU servers.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Detailed 4-Layer architectural diagram displaying software logos and interface protocols.</w:t>
            </w:r>
          </w:p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559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19_solution_4layer_architectu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55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[9:00 - 9:30]: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"Our 4-Layer Full-Stack architecture integrates certified hardware, virtualization, optimization compilers, and business applications into a single turnkey solution with one enterprise SLA."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20  |  PART 4: PILLAR 3 - SOLUTIONS &amp; ORCHESTRATION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Deep-Dive: From Nutanix/RHOAI (L2) to vLLM &amp; Nota (L3)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Engine Room of Low-Latency, High-Density Model Serving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Layer 2 Virtualization: Nutanix AHV and OpenShift AI automate GPU resource slicing (vGPU) across departments.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Layer 3 Compilation: Nota NetsPresso profiles hardware and optimizes execution graphs automatically.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Continuous Batching: vLLM PagedAttention ensures sub-second multi-tenant response times under high concurrency.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Dataflow diagram tracing user query through Nutanix hypervisor to vLLM paged attention cache.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[9:30 - 10:00]: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"At Layers 2 and 3, Nutanix and OpenShift virtualize GPU power across departments, while Nota and vLLM maximize inference density, extracting peak performance from minimum hardware."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21  |  PART 4: PILLAR 3 - SOLUTIONS &amp; ORCHESTRATION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Air-Gapped Security &amp; Advanced Graph RAG (Mem0 + Graphify)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True Data Moats: Zero Exfiltration Meets Deep Structural Context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100% Air-Gapped Isolation: Zero external bytes transmitted; internal HSM key encryption.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Mem0 Memory Architecture: Multi-session personalized context tracking user security clearance levels.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Graphify AST RAG: Abstract Syntax Tree semantic parsing of enterprise source code and complex manuals.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Security architecture diagram: Air-Gapped perimeter shield surrounding Mem0 context engine and Graph RAG.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[10:00 - 10:30]: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"For banking and defense clients, we build completely air-gapped systems. Using Mem0 memory layers and Graphify knowledge graphs, our AI reasons across corporate manuals without hallucination."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22  |  PART 4: PILLAR 3 - SOLUTIONS &amp; ORCHESTRATION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The ISV Ecosystem: Orchestrating Global &amp; Domestic Innovators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Power of the MegazoneCloud Multi-Vendor Aggregator Model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Global Category Leaders: Articul8 (Autonomous GenAI) and Cohere (Multilingual Enterprise Embeddings).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Domestic Specialist Champions: Nota.ai (Edge Optimization), PuzzleData (Process Mining), QuantumAI (Air-Gapped AICC).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Single Enterprise SLA: Clients get multi-vendor best-of-breed software without contract chaos.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Partner ecosystem wheel showing MegazoneCloud at center orchestrating global and domestic ISVs.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[10:30 - 11:00]: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"We curate the world's finest ISVs. Whether bringing in Silicon Valley's Articul8 and Cohere or domestic champions like Nota and PuzzleData, we orchestrate them into one harmonious platform."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23  |  PART 5: PILLAR 4 - SERVICE &amp; ENTERPRISE ADOPTION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Korea Inc. in Action: Enterprise AI Adoption Across Chaebols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Real-World Deployments Across South Korea's Industrial Giants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Semiconductor &amp; High-Tech: Yield prediction, wafer defect inspection, and fab telemetry analytics.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Financial Services: On-premise credit underwriting, automated compliance checks, and private analyst copilots.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Consumer Goods &amp; Beauty (Amorepacific Context): Hyper-personalized beauty formulation compliant with PII laws.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Heavy Industry &amp; Automotive: Assembly line predictive maintenance and CAD engineering assistance.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Industry mosaic illustrating live deployments across Manufacturing, Banking, Beauty, and Automotive.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[11:00 - 11:30]: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"Pillar 4: Real enterprise adoption. In chip manufacturing, AI inspects wafers at line speed. In banking, private LLMs parse regulatory audits. In cosmetics, beauty algorithms run locally on customer data."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24  |  PART 5: PILLAR 4 - SERVICE &amp; ENTERPRISE ADOPTION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Sovereign AI Turnkey Appliance: 1-Click On-Premises Deployment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Delivering Enterprise AI as a Pre-Integrated, Plug-and-Play Appliance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Pre-Integrated Hardware: Pre-racked Dell R760 2U server with certified NVIDIA GPUs or K-NPUs.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Rapid Time-to-Value: From power-on to first internal query in under 2 hours (vs. 6 months of consulting).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Built-In Governance: Pre-loaded with Nutanix AHV, Nota NetsPresso INT4, and sovereign domain models.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Product rendering of the 2U rack appliance showing pre-installed software layers and plug-in setup.</w:t>
            </w:r>
          </w:p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559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24_service_turnkey_applianc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55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[11:30 - 12:00]: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"We package sovereign AI into a plug-and-play 2U appliance. Arrives pre-tested; you connect power and ethernet, and your company has an air-gapped private intelligence platform running in 2 hours."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25  |  PART 5: PILLAR 4 - SERVICE &amp; ENTERPRISE ADOPTION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Measurable Business ROI: 75% Capex Cut &amp; 3.2kW Power Feasibility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Hard Financial and Operational Metrics of Success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Capex Slashed by 75%: $120,000 USD dual-GPU appliance replaces standard $480,000 USD 8-GPU cluster.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Power Draw at 3.2kW: Safely fits standard 10kW datacenter racks, eliminating costly room retrofits.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Latency Reduced 3x: Deterministic sub-50ms token generation for seamless user experience.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Zero Data Exfiltration: 100% compliance with strict national banking and defense security mandates.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Executive ROI scorecard with side-by-side metric tables and large callout badges (75% SAVINGS).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[12:00 - 12:30]: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"These are the metrics that win boardroom approval: 75% Capex savings, 3.2kW power consumption that avoids facility reconstruction, and sub-50ms latency with zero data leakage."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26  |  PART 5: PILLAR 4 - SERVICE &amp; ENTERPRISE ADOPTION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Public Sector &amp; 'AI for All Citizens': National Transformation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Democratizing Artificial Intelligence Across Civil Administration and Healthcare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AI Civil Servants: Automating routine civic administration, tax filings, and municipal inquiries.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Universal AI Compute Vouchers: Subsidizing AI compute for 10,000+ domestic SMEs and technology startups.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Healthcare &amp; Rural Equity: Deploying sovereign diagnostic assistants to regional clinics to bridge medical gaps.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Infographic showing government civic portal, regional hospital diagnostic network, and SME grant flow.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[12:30 - 13:00]: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"Sovereign AI is also a public good. Korea's 'AI for All' initiative delivers AI assistants to municipal offices and regional clinics, ensuring technological advancement benefits all citizens."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27  |  PART 6: MZC PLAYBOOK &amp; GLOBAL VISION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MegazoneCloud's Growth Story: From Cloud Pioneer to AI Unicorn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The Operational Architect Behind Korea's Digital Infrastructure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1998 to Present: Early digital agency evolved into Korea's first AWS Premier Consulting Partner in 2012.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Official Unicorn (2022): Valuation exceeded $1.8B USD, leading the Korean cloud MSP market.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Scale Today: Over 2,700 enterprise clients, 1,500+ specialized engineers, and multi-cloud market dominance.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Strategic Evolution: Cloud MSP -&gt; AI MSP -&gt; Global Full-Stack Sovereign AI Orchestrator.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Milestone timeline spanning 1998, 2012, 2022, and 2026 showing revenue and client expansion trajectory.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[13:00 - 13:30]: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"MegazoneCloud pioneered cloud computing in Korea over a decade ago as the country's first AWS Premier Partner. Today, as a multi-billion dollar tech unicorn, we are leading the AI transformation wave."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28  |  PART 6: MZC PLAYBOOK &amp; GLOBAL VISION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Global Expansion Playbook: Bridging Korea, US, Japan &amp; SE Asia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Exporting Sovereign AI Methodologies to High-Growth Asian Markets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Silicon Valley Hub (Palo Alto): Venture partnerships, co-innovation with frontier AI ISVs.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Japan Expansion (Tokyo): Delivering sovereign on-premise AI to Japanese financial and enterprise leaders.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Southeast Asia (Singapore, Vietnam): Scaling low-power NPU inference appliances and cloud software.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The Strategic Bridge: Connecting Western software innovation with Asian enterprise operational execution.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Global map linking Silicon Valley, Seoul, Tokyo, and Singapore with active business flows.</w:t>
            </w:r>
          </w:p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559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28_mzc_global_ai_brid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55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[13:30 - 14:00]: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"We are expanding globally. Through offices in Palo Alto, Tokyo, and Singapore, we export the sovereign AI methodologies proven in Korea to enterprises across the Asia-Pacific region."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29  |  PART 6: MZC PLAYBOOK &amp; GLOBAL VISION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Strategic Takeaways for Global Business Leaders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Key Insights for UCLA Anderson Executive MBA Delegates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1. Sovereignty != Isolation: True strategic autonomy combines global technological standards with local control.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2. Datacenter Physics Rule: Power, rack limits, and thermal constraints dictate AI feasibility faster than ambition.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3. Defend Your Proprietary Moat: Internal domain knowledge and proprietary data graphs are your core balance sheet assets.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4. Modular Architectural Agility: Decouple silicon, foundation models, and middleware to prevent future vendor lock-in.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4 quadrant strategic framework summarizing executive recommendations for global leaders.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[14:00 - 14:30]: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"As you return to your executive roles, remember: true sovereignty is about agility, not isolation. Respect datacenter physics early, guard your corporate data, and build modular systems."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03B5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D100"/>
                <w:sz w:val="17"/>
              </w:rPr>
              <w:t>SLIDE 30  |  PART 6: MZC PLAYBOOK &amp; GLOBAL VISION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Conclusion &amp; Open Q&amp;A Discussion</w:t>
            </w:r>
          </w:p>
        </w:tc>
      </w:tr>
      <w:tr>
        <w:tc>
          <w:tcPr>
            <w:tcW w:type="dxa" w:w="9936"/>
            <w:shd w:fill="F0F4F9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3B5C"/>
                <w:sz w:val="19"/>
              </w:rPr>
              <w:t>KEY THEME: Shaping the Future of Enterprise AI Together</w:t>
            </w:r>
          </w:p>
        </w:tc>
      </w:tr>
      <w:tr>
        <w:tc>
          <w:tcPr>
            <w:tcW w:type="dxa" w:w="9936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Presenter: Andy | ISV Business Unit &amp; AI Architecture Group, MegazoneCloud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Official Email: andy@megazone.com | contact@megazone.com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Headquarters: MegazoneCloud Gwacheon Smart Tower, Gwacheon-si, Gyeonggi-do, Korea</w:t>
            </w:r>
          </w:p>
          <w:p>
            <w:pPr>
              <w:spacing w:before="40" w:after="40"/>
            </w:pPr>
            <w:r>
              <w:rPr>
                <w:b/>
                <w:color w:val="0066FF"/>
              </w:rPr>
              <w:t xml:space="preserve">•  </w:t>
            </w:r>
            <w:r>
              <w:rPr>
                <w:rFonts w:ascii="Arial" w:hAnsi="Arial"/>
                <w:sz w:val="19"/>
              </w:rPr>
              <w:t>Suggested Discussion Topics: Regulatory divergence (US vs. Korea vs. EU), NPU vs. GPU economics, scaling across global subsidiaries.</w:t>
            </w:r>
          </w:p>
        </w:tc>
      </w:tr>
      <w:tr>
        <w:tc>
          <w:tcPr>
            <w:tcW w:type="dxa" w:w="9936"/>
            <w:shd w:fill="FAFBFC"/>
            <w:tcMar>
              <w:top w:w="70" w:type="dxa"/>
              <w:bottom w:w="70" w:type="dxa"/>
              <w:left w:w="180" w:type="dxa"/>
              <w:right w:w="180" w:type="dxa"/>
            </w:tcMar>
          </w:tcPr>
          <w:p>
            <w:r>
              <w:rPr>
                <w:b/>
                <w:color w:val="646E78"/>
                <w:sz w:val="17"/>
              </w:rPr>
              <w:t xml:space="preserve">VISUAL CONCEPT: </w:t>
            </w:r>
            <w:r>
              <w:rPr>
                <w:i/>
                <w:sz w:val="17"/>
              </w:rPr>
              <w:t>Collaborative closing slide with MegazoneCloud and UCLA Anderson logos and live Q&amp;A floor open banner.</w:t>
            </w:r>
          </w:p>
        </w:tc>
      </w:tr>
      <w:tr>
        <w:tc>
          <w:tcPr>
            <w:tcW w:type="dxa" w:w="9936"/>
            <w:shd w:fill="FFF9E6"/>
            <w:tcMar>
              <w:top w:w="90" w:type="dxa"/>
              <w:bottom w:w="90" w:type="dxa"/>
              <w:left w:w="180" w:type="dxa"/>
              <w:right w:w="180" w:type="dxa"/>
            </w:tcMar>
          </w:tcPr>
          <w:p>
            <w:r>
              <w:rPr>
                <w:b/>
                <w:color w:val="B47300"/>
                <w:sz w:val="17"/>
              </w:rPr>
              <w:t>SPEAKER NOTES &amp; PACING [14:30 - 15:00]:</w:t>
              <w:br/>
            </w:r>
            <w:r>
              <w:rPr>
                <w:rFonts w:ascii="Georgia" w:hAnsi="Georgia"/>
                <w:i/>
                <w:color w:val="282828"/>
                <w:sz w:val="18"/>
              </w:rPr>
              <w:t>"Thank you for your time, leadership, and attention. The future of AI will be shaped by strategic autonomy and global collaboration. The floor is now open for your questions."</w:t>
            </w:r>
          </w:p>
        </w:tc>
      </w:tr>
    </w:tbl>
    <w:p>
      <w:pPr>
        <w:spacing w:before="160"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