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6CC"/>
          <w:sz w:val="19"/>
        </w:rPr>
        <w:t>MEGAZONECLOUD ENTERPRISE SALES PLAYBOOK &amp; OFFERING GUIDE</w:t>
      </w:r>
    </w:p>
    <w:p>
      <w:pPr>
        <w:spacing w:before="120" w:after="240"/>
      </w:pPr>
      <w:r>
        <w:rPr>
          <w:b/>
          <w:color w:val="0F172A"/>
          <w:sz w:val="42"/>
        </w:rPr>
        <w:t>VMware to Nutanix &amp; Red Hat OpenShift</w:t>
        <w:br/>
        <w:t>하이브리드 클라우드 세일즈 오퍼링 가이드</w:t>
      </w:r>
    </w:p>
    <w:p>
      <w:pPr>
        <w:spacing w:after="360"/>
      </w:pPr>
      <w:r>
        <w:rPr>
          <w:color w:val="475569"/>
          <w:sz w:val="23"/>
        </w:rPr>
        <w:t>Broadcom VMware 고객 대상 마이그레이션 제안 전략, 경쟁사 대응 논리, 아키텍처 및 TCO 세일즈 가이드북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34155"/>
                <w:sz w:val="18"/>
              </w:rPr>
              <w:t xml:space="preserve">• 발행 일자: </w:t>
            </w:r>
            <w:r>
              <w:rPr>
                <w:color w:val="0F172A"/>
                <w:sz w:val="18"/>
              </w:rPr>
              <w:t>2026년 8월 24일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34155"/>
                <w:sz w:val="18"/>
              </w:rPr>
              <w:t xml:space="preserve">• 문서 버전: </w:t>
            </w:r>
            <w:r>
              <w:rPr>
                <w:color w:val="0F172A"/>
                <w:sz w:val="18"/>
              </w:rPr>
              <w:t>v2.0 (Sales Playbook Guide)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34155"/>
                <w:sz w:val="18"/>
              </w:rPr>
              <w:t xml:space="preserve">• 발행 부서: </w:t>
            </w:r>
            <w:r>
              <w:rPr>
                <w:color w:val="0F172A"/>
                <w:sz w:val="18"/>
              </w:rPr>
              <w:t>메가존클라우드 ISV &amp; Hybrid Cloud BU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34155"/>
                <w:sz w:val="18"/>
              </w:rPr>
              <w:t xml:space="preserve">• 활용 목적: </w:t>
            </w:r>
            <w:r>
              <w:rPr>
                <w:color w:val="0F172A"/>
                <w:sz w:val="18"/>
              </w:rPr>
              <w:t>고객사 세일즈 제안, PoC 기획 및 영업 인에이블먼트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b/>
          <w:color w:val="0F172A"/>
          <w:sz w:val="26"/>
        </w:rPr>
        <w:t>Executive Summary &amp; Sales Value Proposition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D4ED8"/>
                <w:sz w:val="20"/>
              </w:rPr>
              <w:t>📢 10초 엘리베이터 피치 (Elevator Pitch)</w:t>
              <w:br/>
            </w:r>
            <w:r>
              <w:rPr>
                <w:color w:val="1E293B"/>
                <w:sz w:val="18"/>
              </w:rPr>
              <w:t>"Broadcom 이후 VMware 라이선스 갱신 비용이 3~5배 폭등하셨습니까?</w:t>
              <w:br/>
              <w:t>메가존클라우드의 Nutanix &amp; Red Hat OpenShift 마이그레이션 오퍼링으로 기존 VM을 변경 없이 10분 만에 안전하게 이전하고, 5개년 TCO 30~50% 절감과 함께 온프레미스 AI 및 하이브리드 클라우드 플랫폼을 완성하십시오!"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color w:val="334155"/>
          <w:sz w:val="19"/>
        </w:rPr>
        <w:t>본 가이드북은 메가존클라우드 영업 및 프리세일즈 엔지니어가 VMware 갱신 및 대안 검토 고객을 대면하여 초기 디스커버리부터 TCO 시뮬레이션, 아키텍처 제안, 경쟁사 반론 격파, 글로벌 펀딩 지원 체계까지 딜(Deal)을 클로징하기 위한 실전 세일즈 플레이북입니다.</w:t>
      </w:r>
    </w:p>
    <w:p>
      <w:pPr>
        <w:spacing w:before="320" w:after="120"/>
      </w:pPr>
      <w:r>
        <w:rPr>
          <w:b/>
          <w:color w:val="0F172A"/>
          <w:sz w:val="26"/>
        </w:rPr>
        <w:t>0. 고객 분석 및 타깃팅 전략 (Customer Pain Points &amp; Signals)</w:t>
      </w:r>
    </w:p>
    <w:p>
      <w:pPr>
        <w:spacing w:after="100"/>
      </w:pPr>
      <w:r>
        <w:rPr>
          <w:color w:val="334155"/>
          <w:sz w:val="19"/>
        </w:rPr>
        <w:t>국내 가상화 시장의 85~90%를 점유해 온 VMware 고객들은 영구 라이선스 폐지, 물리 코어당 과금(최소 16코어 보장), VCF/VVF 메가 번들 강제화로 인해 심각한 예산 위기를 겪고 있습니다. 영업팀은 아래의 3대 티어링 기준과 발굴 트리거를 바탕으로 우선순위 타깃 고객을 즉시 식별해야 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타깃 고객 분류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주요 고객 신호 (Trigger Signals)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영업팀 진입 및 제안 전략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Tier 1 (즉시 전환)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• VMware 계약 갱신 D-180일 이내 도래</w:t>
              <w:br/>
              <w:t>• Broadcom 견적서 수령 후 3배 이상 폭증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무상 Rapid Assessment 및 TCO 절감 보고서 제공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Tier 2 (컴플라이언스)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• 금융/공공/제조 망분리 및 데이터 주권 의무</w:t>
              <w:br/>
              <w:t>• SAP S/4HANA 전환 과제 직면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SAP PCE CDC 및 온프레미스 AHV 하이브리드 제안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Tier 3 (AI/클라우드)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• K8s 클러스터 난립 및 DevOps 인력 부족</w:t>
              <w:br/>
              <w:t>• 사내 AI/GPU 인프라 신규 구축 희망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OpenShift AI + Nutanix GPU 턴키 인프라 제안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경쟁사 교체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• Azure Stack HCI 등 인터넷 종속으로 난항</w:t>
              <w:br/>
              <w:t>• 국산 OpenStack의 운영 복잡도 과다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Nutanix 단일 Prism 콘솔의 운영 편의성 강조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DC 축소/DR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• 퍼블릭 클라우드 비용 초과 (Repatriation)</w:t>
              <w:br/>
              <w:t>• 랜섬웨어 대비 무중단 DR 미비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NC2 on AWS 기반 탄력적 하이브리드 DR 제안</w:t>
            </w:r>
          </w:p>
        </w:tc>
      </w:tr>
    </w:tbl>
    <w:p>
      <w:pPr>
        <w:spacing w:before="320" w:after="120"/>
      </w:pPr>
      <w:r>
        <w:rPr>
          <w:b/>
          <w:color w:val="0F172A"/>
          <w:sz w:val="26"/>
        </w:rPr>
        <w:t>1. VMware 제품군 개요 및 Shelfware 맹점 분석</w:t>
      </w:r>
    </w:p>
    <w:p>
      <w:pPr>
        <w:spacing w:after="100"/>
      </w:pPr>
      <w:r>
        <w:rPr>
          <w:color w:val="334155"/>
          <w:sz w:val="19"/>
        </w:rPr>
        <w:t>Broadcom은 VCF(풀스택 번들, 코어당 연 $100~$200+)와 VVF(경량 번들, 코어당 연 $50~$100) 2가지 번들만 강매하고 있습니다. 고객이 외장 SAN 스토리지와 물리 방화벽을 보유하고 있어도 쓰지 않는 vSAN과 NSX 라이선스를 지불해야 하는 심각한 Shelfware(미사용 잉여 기능 강매) 문제를 고객에게 논리적으로 짚어주어야 합니다.</w:t>
      </w:r>
    </w:p>
    <w:p>
      <w:pPr>
        <w:spacing w:before="320" w:after="120"/>
      </w:pPr>
      <w:r>
        <w:rPr>
          <w:b/>
          <w:color w:val="0F172A"/>
          <w:sz w:val="26"/>
        </w:rPr>
        <w:t>2. Red Hat OpenShift &amp; Nutanix 대체 영역 1:1 매핑</w:t>
      </w:r>
    </w:p>
    <w:p>
      <w:pPr>
        <w:spacing w:after="100"/>
      </w:pPr>
      <w:r>
        <w:rPr>
          <w:color w:val="334155"/>
          <w:sz w:val="19"/>
        </w:rPr>
        <w:t>Nutanix NCI(AHV 하이퍼바이저 내장)와 Red Hat OpenShift의 융합은 VMware의 전체 인프라 스택을 100% 완벽히 대체하며, 중복 하이퍼바이저 비용을 제로화합니다.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인프라 영역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VMware 컴포넌트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Nutanix 대체 솔루션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Red Hat 대체 솔루션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핵심 고객 이점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하이퍼바이저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ESXi Hypervisor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AHV (NCI 내장 무료)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KVM (OpenShift Virt.)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NCI 구독 내 무료 포함으로 중복 과금 제거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가상화 통합관리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vCenter Server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Prism Central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OpenShift Console + ACM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수천 개 VM 및 K8s 클러스터 단일 뷰 통합 관제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HCI 분산스토리지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vSAN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DSF (Distributed Fabric)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ODF (Data Foundation)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실시간 중복제거/압축 및 선형적 용량/성능 확장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네트워크/보안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NSX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Flow Network Security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OVN-Kubernetes + ACS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간편한 마이크로세그멘테이션으로 운영 공수 70% 절감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컨테이너/K8s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Tanzu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NKP (Kubernetes Plat.)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OpenShift Container Plat.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CNCF 완벽 호환 및 엔터프라이즈 DevSecOps 내장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하이브리드 클라우드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VMware Cloud on AWS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NC2 on AWS / Azure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ROSA / ARO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양방향 자유 마이그레이션, AWS Native AI 즉시 연동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AI/ML 인프라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VMware Private AI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NAI (Enterprise AI)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OpenShift AI (RHOAI)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NVIDIA GPU 턴키 통합 및 사내 폐쇄망 LLM 서빙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무중단 마이그레이션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HCX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Nutanix Move (무상)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Red Hat MTV (무상)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에이전트리스 백그라운드 복제 후 10분 내 컷오버</w:t>
            </w:r>
          </w:p>
        </w:tc>
      </w:tr>
    </w:tbl>
    <w:p>
      <w:pPr>
        <w:spacing w:before="320" w:after="120"/>
      </w:pPr>
      <w:r>
        <w:rPr>
          <w:b/>
          <w:color w:val="0F172A"/>
          <w:sz w:val="26"/>
        </w:rPr>
        <w:t>3. 국내외 경쟁 가상화 및 클라우드 솔루션 심층 분석</w:t>
      </w:r>
    </w:p>
    <w:p>
      <w:pPr>
        <w:spacing w:after="100"/>
      </w:pPr>
      <w:r>
        <w:rPr>
          <w:color w:val="334155"/>
          <w:sz w:val="19"/>
        </w:rPr>
        <w:t>• MS Azure Local: Hyper-V 기반으로 Windows 혜택은 있으나, Azure 계정 종속성(30일 인터넷 단절 시 인증 문제)으로 폐쇄망 도입이 불가하며 타 CSP 멀티클라우드가 불가합니다.</w:t>
        <w:br/>
        <w:t>• 오케스트로 Contrabass: 공공 CC인증 강점이 있으나, 글로벌 CSP 양방향 연동이 불가하고 SAP HANA 등 글로벌 ISV 인증이 미흡합니다.</w:t>
        <w:br/>
        <w:t>• SUSE Harvester: KubeVirt 기반 경량 오픈소스이나 스토리지 성숙도 및 국내 대형 레퍼런스가 부재합니다.</w:t>
        <w:br/>
        <w:t>• Proxmox VE: 무료 오픈소스이나 24x7 엔터프라이즈 SLA 및 백업 솔루션 생태계 부재로 미션 크리티컬 워크로드 적용이 불가능합니다.</w:t>
      </w:r>
    </w:p>
    <w:p>
      <w:pPr>
        <w:spacing w:before="320" w:after="120"/>
      </w:pPr>
      <w:r>
        <w:rPr>
          <w:b/>
          <w:color w:val="0F172A"/>
          <w:sz w:val="26"/>
        </w:rPr>
        <w:t>4. Target Industry &amp; Account 공략 전략</w:t>
      </w:r>
    </w:p>
    <w:p>
      <w:pPr>
        <w:spacing w:after="100"/>
      </w:pPr>
      <w:r>
        <w:rPr>
          <w:color w:val="334155"/>
          <w:sz w:val="19"/>
        </w:rPr>
        <w:t>• 제조 (Manufacturing): SAP PCE CDC 프라이빗 클라우드 구성 + Nutanix DMO 마이그레이션으로 MES/도면 데이터 보호 (HD한국조선해양 사례: 30% 비용 절감)</w:t>
        <w:br/>
        <w:t>• 금융 (Financial Services): 계정계 온프레미스 AHV + 정보계 NC2 on AWS 하이브리드 연동 및 Data Lens 랜섬웨어 방어 (BNK금융그룹 사례: 90% 업무시스템 운영)</w:t>
        <w:br/>
        <w:t>• 공공 (Public Sector): 단년도 예산 분산 구독형 도입 및 폐쇄망(Air-Gap) 소버린 AI 턴키 구현</w:t>
        <w:br/>
        <w:t>• 대기업/그룹사: Prism Central 멀티테넌시 통합 관리 및 성수기 트래픽 대응을 위한 NC2 Cloud Bursting (에버랜드 사례: 국내 최초 도입)</w:t>
      </w:r>
    </w:p>
    <w:p>
      <w:pPr>
        <w:spacing w:before="320" w:after="120"/>
      </w:pPr>
      <w:r>
        <w:rPr>
          <w:b/>
          <w:color w:val="0F172A"/>
          <w:sz w:val="26"/>
        </w:rPr>
        <w:t>5. 구성 및 Architecture &amp; 무중단 마이그레이션 메커니즘</w:t>
      </w:r>
    </w:p>
    <w:p>
      <w:pPr>
        <w:spacing w:after="100"/>
      </w:pPr>
      <w:r>
        <w:rPr>
          <w:color w:val="334155"/>
          <w:sz w:val="19"/>
        </w:rPr>
        <w:t>무상 제공되는 Nutanix Move 도구는 원본 VMware VM이 가동 중인 상태에서 블록 레벨의 데이터를 백그라운드 사전 복제하고, 최종 컷오버 시 단 5~10분의 다운타임만으로 타깃 AHV 환경으로 전환을 완료하며 문제 발생 시 즉각적인 롤백을 지원합니다.</w:t>
      </w:r>
    </w:p>
    <w:p>
      <w:pPr>
        <w:spacing w:before="320" w:after="120"/>
      </w:pPr>
      <w:r>
        <w:rPr>
          <w:b/>
          <w:color w:val="0F172A"/>
          <w:sz w:val="26"/>
        </w:rPr>
        <w:t>6. 비용 구조 및 TCO 분석 (Financial Modeling)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비용 분석 항목 (100 Core / 3개년)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VMware VCF 유지 시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Nutanix NCI 전환 시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비용 절감 효과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S/W 라이선스 및 구독료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$204,000 (~2.75억 원)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$75,000 (~1.01억 원)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63.2% 절감 ($129,000 절감)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하드웨어 유지보수 비용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$45,000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$45,000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동일 (기존 서버 재활용)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마이그레이션 구축 비용 (1회)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$0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$30,000 (펀딩 시 $0)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글로벌 파트너 펀딩 전액 감면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운영 및 인건비 (3개년)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$150,000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$120,000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20% 절감 (Prism 자동화)</w:t>
            </w:r>
          </w:p>
        </w:tc>
      </w:tr>
      <w:tr>
        <w:tc>
          <w:tcPr>
            <w:tcW w:type="dxa" w:w="2340"/>
            <w:shd w:fill="EFF6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3개년 총 TCO 합계</w:t>
            </w:r>
          </w:p>
        </w:tc>
        <w:tc>
          <w:tcPr>
            <w:tcW w:type="dxa" w:w="2340"/>
            <w:shd w:fill="EFF6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$399,000 (~5.38억 원)</w:t>
            </w:r>
          </w:p>
        </w:tc>
        <w:tc>
          <w:tcPr>
            <w:tcW w:type="dxa" w:w="2340"/>
            <w:shd w:fill="EFF6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$270,000 (~3.64억 원)</w:t>
            </w:r>
          </w:p>
        </w:tc>
        <w:tc>
          <w:tcPr>
            <w:tcW w:type="dxa" w:w="2340"/>
            <w:shd w:fill="EFF6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총 $129,000 (~1.74억 원 절감)</w:t>
            </w:r>
          </w:p>
        </w:tc>
      </w:tr>
    </w:tbl>
    <w:p>
      <w:pPr>
        <w:spacing w:before="320" w:after="120"/>
      </w:pPr>
      <w:r>
        <w:rPr>
          <w:b/>
          <w:color w:val="0F172A"/>
          <w:sz w:val="26"/>
        </w:rPr>
        <w:t>7. 영업 FAQ 및 주요 반론 대응 (Objection Handling)</w:t>
      </w:r>
    </w:p>
    <w:p>
      <w:pPr>
        <w:spacing w:after="100"/>
      </w:pPr>
      <w:r>
        <w:rPr>
          <w:color w:val="334155"/>
          <w:sz w:val="19"/>
        </w:rPr>
        <w:t>• Q. Nutanix가 VMware만큼 생태계가 성숙한가?</w:t>
        <w:br/>
        <w:t xml:space="preserve">  ➔ A. Nutanix는 2,500+ 글로벌 파트너 및 Dell, HPE, Cisco 인증을 완비하였으며 국내 HD한국조선해양, BNK금융 등 전사 90% 이상 메인 업무를 검증 운영 중입니다.</w:t>
        <w:br/>
        <w:t>• Q. 마이그레이션 중 서비스 장애가 우려되지 않는가?</w:t>
        <w:br/>
        <w:t xml:space="preserve">  ➔ A. Nutanix Move는 에이전트리스 방식으로 백그라운드 사전 동기화 후 10분 내 컷오버를 완료하므로 서비스 중단 리스크가 없습니다.</w:t>
        <w:br/>
        <w:t>• Q. 기존 외장 스토리지를 폐기해야 하는가?</w:t>
        <w:br/>
        <w:t xml:space="preserve">  ➔ A. 아닙니다. Nutanix NCI는 기존 Dell, NetApp 외장 SAN 스토리지를 그대로 연결하여 기투자를 100% 보호합니다.</w:t>
      </w:r>
    </w:p>
    <w:p>
      <w:pPr>
        <w:spacing w:before="320" w:after="120"/>
      </w:pPr>
      <w:r>
        <w:rPr>
          <w:b/>
          <w:color w:val="0F172A"/>
          <w:sz w:val="26"/>
        </w:rPr>
        <w:t>8. 참고 문헌 및 출처 (References &amp; Sources)</w:t>
      </w:r>
    </w:p>
    <w:p>
      <w:pPr>
        <w:spacing w:after="40"/>
        <w:ind w:left="288"/>
      </w:pPr>
      <w:r>
        <w:rPr>
          <w:color w:val="64748B"/>
          <w:sz w:val="16"/>
        </w:rPr>
        <w:t>1. Broadcom Inc., 'VMware Cloud Foundation (VCF) and VMware vSphere Foundation (VVF) Packaging &amp; Pricing Guide', Official Whitepaper, 2024-2026.</w:t>
      </w:r>
    </w:p>
    <w:p>
      <w:pPr>
        <w:spacing w:after="40"/>
        <w:ind w:left="288"/>
      </w:pPr>
      <w:r>
        <w:rPr>
          <w:color w:val="64748B"/>
          <w:sz w:val="16"/>
        </w:rPr>
        <w:t>2. Nutanix Inc., 'Nutanix Cloud Platform vs. VMware vSphere TCO &amp; Workload Migration Analysis Whitepaper', 2025.</w:t>
      </w:r>
    </w:p>
    <w:p>
      <w:pPr>
        <w:spacing w:after="40"/>
        <w:ind w:left="288"/>
      </w:pPr>
      <w:r>
        <w:rPr>
          <w:color w:val="64748B"/>
          <w:sz w:val="16"/>
        </w:rPr>
        <w:t>3. Red Hat Inc., 'Red Hat OpenShift Virtualization: Migrating Virtual Machines to Cloud-Native Infrastructure', Technical Guide, 2025.</w:t>
      </w:r>
    </w:p>
    <w:p>
      <w:pPr>
        <w:spacing w:after="40"/>
        <w:ind w:left="288"/>
      </w:pPr>
      <w:r>
        <w:rPr>
          <w:color w:val="64748B"/>
          <w:sz w:val="16"/>
        </w:rPr>
        <w:t>4. Gartner Research, 'Market Guide for Cloud-Native Infrastructure &amp; Hyperconverged Platforms', Gartner Report, 2025.</w:t>
      </w:r>
    </w:p>
    <w:p>
      <w:pPr>
        <w:spacing w:after="40"/>
        <w:ind w:left="288"/>
      </w:pPr>
      <w:r>
        <w:rPr>
          <w:color w:val="64748B"/>
          <w:sz w:val="16"/>
        </w:rPr>
        <w:t>5. S-Core Insight, '국내 엔터프라이즈 가상화 시장 변화와 클라우드 네이티브 현대화 전략', S-Core Consulting Report, 2024-2025.</w:t>
      </w:r>
    </w:p>
    <w:p>
      <w:pPr>
        <w:spacing w:after="40"/>
        <w:ind w:left="288"/>
      </w:pPr>
      <w:r>
        <w:rPr>
          <w:color w:val="64748B"/>
          <w:sz w:val="16"/>
        </w:rPr>
        <w:t>6. ZDNet Korea &amp; 디지털데일리, 'Broadcom 인수 후 국내 가상화 대안 솔루션 도입 및 PoC 현황', 2025.</w:t>
      </w:r>
    </w:p>
    <w:p>
      <w:pPr>
        <w:spacing w:after="40"/>
        <w:ind w:left="288"/>
      </w:pPr>
      <w:r>
        <w:rPr>
          <w:color w:val="64748B"/>
          <w:sz w:val="16"/>
        </w:rPr>
        <w:t>7. MEGAZONECLOUD Corp., 'Nutanix 기반 Hybrid Cloud Sales Offering Guide v1.4 &amp; ISV Sales Playbook', 2026.08.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7"/>
      </w:rPr>
      <w:t>MEGAZONECLOUD | VMware to Nutanix &amp; OpenShift Sales Offering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