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284C7"/>
          <w:sz w:val="19"/>
        </w:rPr>
        <w:t>MEGAZONECLOUD STRATEGIC ENTERPRISE REPORT</w:t>
      </w:r>
    </w:p>
    <w:p>
      <w:pPr>
        <w:spacing w:before="120" w:after="240"/>
      </w:pPr>
      <w:r>
        <w:rPr>
          <w:b/>
          <w:color w:val="0F172A"/>
          <w:sz w:val="40"/>
        </w:rPr>
        <w:t>VMware to Nutanix &amp; Red Hat OpenShift</w:t>
        <w:br/>
        <w:t>하이브리드 클라우드 전환 전략 및 시장 경쟁 분석 보고서</w:t>
      </w:r>
    </w:p>
    <w:p>
      <w:pPr>
        <w:spacing w:after="400"/>
      </w:pPr>
      <w:r>
        <w:rPr>
          <w:color w:val="475569"/>
          <w:sz w:val="22"/>
        </w:rPr>
        <w:t>Broadcom 인수 이후 VMware 라이선스 리스크 극복과 차세대 AI/하이브리드 클라우드 인프라 현대화 및 국내외 경쟁 분석</w:t>
      </w:r>
    </w:p>
    <w:tbl>
      <w:tblPr>
        <w:tblW w:type="auto" w:w="0"/>
        <w:jc w:val="center"/>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pPr>
              <w:spacing w:after="40"/>
            </w:pPr>
            <w:r>
              <w:rPr>
                <w:b/>
                <w:color w:val="334155"/>
                <w:sz w:val="18"/>
              </w:rPr>
              <w:t xml:space="preserve">• 발행 일자: </w:t>
            </w:r>
            <w:r>
              <w:rPr>
                <w:color w:val="0F172A"/>
                <w:sz w:val="18"/>
              </w:rPr>
              <w:t>2026년 8월 24일</w:t>
            </w:r>
          </w:p>
        </w:tc>
        <w:tc>
          <w:tcPr>
            <w:tcW w:type="dxa" w:w="4680"/>
            <w:shd w:fill="F8FAFC"/>
            <w:tcMar>
              <w:top w:w="80" w:type="dxa"/>
              <w:bottom w:w="80" w:type="dxa"/>
              <w:left w:w="120" w:type="dxa"/>
              <w:right w:w="120" w:type="dxa"/>
            </w:tcMar>
          </w:tcPr>
          <w:p>
            <w:pPr>
              <w:spacing w:after="40"/>
            </w:pPr>
            <w:r>
              <w:rPr>
                <w:b/>
                <w:color w:val="334155"/>
                <w:sz w:val="18"/>
              </w:rPr>
              <w:t xml:space="preserve">• 문서 버전: </w:t>
            </w:r>
            <w:r>
              <w:rPr>
                <w:color w:val="0F172A"/>
                <w:sz w:val="18"/>
              </w:rPr>
              <w:t>v2.0 (심층 종합 보고서)</w:t>
            </w:r>
          </w:p>
        </w:tc>
      </w:tr>
      <w:tr>
        <w:tc>
          <w:tcPr>
            <w:tcW w:type="dxa" w:w="4680"/>
            <w:shd w:fill="F8FAFC"/>
            <w:tcMar>
              <w:top w:w="80" w:type="dxa"/>
              <w:bottom w:w="80" w:type="dxa"/>
              <w:left w:w="120" w:type="dxa"/>
              <w:right w:w="120" w:type="dxa"/>
            </w:tcMar>
          </w:tcPr>
          <w:p>
            <w:pPr>
              <w:spacing w:after="40"/>
            </w:pPr>
            <w:r>
              <w:rPr>
                <w:b/>
                <w:color w:val="334155"/>
                <w:sz w:val="18"/>
              </w:rPr>
              <w:t xml:space="preserve">• 작성 부서: </w:t>
            </w:r>
            <w:r>
              <w:rPr>
                <w:color w:val="0F172A"/>
                <w:sz w:val="18"/>
              </w:rPr>
              <w:t>메가존클라우드 ISV &amp; Hybrid Cloud BU</w:t>
            </w:r>
          </w:p>
        </w:tc>
        <w:tc>
          <w:tcPr>
            <w:tcW w:type="dxa" w:w="4680"/>
            <w:shd w:fill="F8FAFC"/>
            <w:tcMar>
              <w:top w:w="80" w:type="dxa"/>
              <w:bottom w:w="80" w:type="dxa"/>
              <w:left w:w="120" w:type="dxa"/>
              <w:right w:w="120" w:type="dxa"/>
            </w:tcMar>
          </w:tcPr>
          <w:p>
            <w:pPr>
              <w:spacing w:after="40"/>
            </w:pPr>
            <w:r>
              <w:rPr>
                <w:b/>
                <w:color w:val="334155"/>
                <w:sz w:val="18"/>
              </w:rPr>
              <w:t xml:space="preserve">• 보안 등급: </w:t>
            </w:r>
            <w:r>
              <w:rPr>
                <w:color w:val="0F172A"/>
                <w:sz w:val="18"/>
              </w:rPr>
              <w:t>대외비 (고객 경영진 보고 및 전략 제안용)</w:t>
            </w:r>
          </w:p>
        </w:tc>
      </w:tr>
    </w:tbl>
    <w:p>
      <w:pPr>
        <w:spacing w:after="320"/>
      </w:pPr>
    </w:p>
    <w:p>
      <w:pPr>
        <w:spacing w:before="360" w:after="160"/>
      </w:pPr>
      <w:r>
        <w:rPr>
          <w:b/>
          <w:color w:val="0F172A"/>
          <w:sz w:val="27"/>
        </w:rPr>
        <w:t>Executive Summary (경영진 요약)</w:t>
      </w:r>
    </w:p>
    <w:p>
      <w:pPr>
        <w:spacing w:after="120"/>
      </w:pPr>
      <w:r>
        <w:rPr>
          <w:color w:val="334155"/>
          <w:sz w:val="19"/>
        </w:rPr>
        <w:t>글로벌 가상화 소프트웨어 시장을 20년 이상 독점해 온 VMware가 2023년 11월 Broadcom에 피인수된 이후, 기존의 영구 라이선스(Perpetual License) 판매를 전면 폐지하고 3년 약정 기반의 구독형(Subscription) 모델로 강제 전환하였습니다. 과금 기준 또한 CPU 소켓 단위에서 '물리 CPU 코어당 과금(최소 16코어 보장)'으로 변경되었으며, 160여 개 제품군이 VCF/VVF의 2대 메가 번들로 강제 통폐합되었습니다. 이에 따라 국내외 엔터프라이즈 고객의 계약 갱신 비용이 기존 대비 2~5배(최대 7배) 폭증하고 있으며, 국내 주요 기업의 40~60% 이상이 '탈VMware'를 경영진 핵심 과제로 추진하고 있습니다.</w:t>
      </w:r>
    </w:p>
    <w:p>
      <w:pPr>
        <w:spacing w:after="120"/>
      </w:pPr>
      <w:r>
        <w:rPr>
          <w:color w:val="334155"/>
          <w:sz w:val="19"/>
        </w:rPr>
        <w:t>메가존클라우드는 이러한 고객의 경영 위기를 극복하고 미래 하이브리드 AI 인프라로 도약할 수 있도록 'Nutanix Cloud Platform + Red Hat OpenShift' 융합 전략을 제안합니다. Nutanix NCI(AHV 하이퍼바이저 내장)로 기존 가상화 및 스토리지 인프라를 1:1 완벽 대체하고, Red Hat OpenShift를 통해 기존 VM과 신규 컨테이너 애플리케이션 및 온프레미스 AI(RHOAI)를 단일 거버넌스로 통합합니다. 무상 제공되는 Nutanix Move 툴을 활용하여 10분 이내 무중단 이관을 실현하며, 5개년 누적 TCO 기준 30~50% 실질 절감과 온프레미스 데이터 주권 100% 보장을 약속합니다.</w:t>
      </w:r>
    </w:p>
    <w:p>
      <w:pPr>
        <w:spacing w:before="360" w:after="160"/>
      </w:pPr>
      <w:r>
        <w:rPr>
          <w:b/>
          <w:color w:val="0F172A"/>
          <w:sz w:val="27"/>
        </w:rPr>
        <w:t>1. 고객 및 시장 환경 분석 (Market Context &amp; Pain Points)</w:t>
      </w:r>
    </w:p>
    <w:p>
      <w:pPr>
        <w:spacing w:after="120"/>
      </w:pPr>
      <w:r>
        <w:rPr>
          <w:color w:val="334155"/>
          <w:sz w:val="19"/>
        </w:rPr>
        <w:t>국내 가상화 시장에서 VMware는 금융, 제조, 공공, 대기업 전반에 걸쳐 약 85~90%의 압도적인 점유율을 유지해 왔습니다. 그러나 Broadcom의 일방적인 가격 인상과 번들 강제화로 인해 IT 예산 수립이 불가능해진 기업들이 대거 대체 플랫폼을 물색하고 있습니다.</w:t>
      </w:r>
    </w:p>
    <w:p>
      <w:pPr>
        <w:spacing w:before="240" w:after="80"/>
      </w:pPr>
      <w:r>
        <w:rPr>
          <w:b/>
          <w:color w:val="0284C7"/>
          <w:sz w:val="22"/>
        </w:rPr>
        <w:t>1.1 Broadcom 라이선스 정책 6대 변경 사항</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b/>
                <w:color w:val="FFFFFF"/>
                <w:sz w:val="17"/>
              </w:rPr>
              <w:t>구분</w:t>
            </w:r>
          </w:p>
        </w:tc>
        <w:tc>
          <w:tcPr>
            <w:tcW w:type="dxa" w:w="2340"/>
            <w:shd w:fill="0F172A"/>
            <w:tcMar>
              <w:top w:w="80" w:type="dxa"/>
              <w:bottom w:w="80" w:type="dxa"/>
              <w:left w:w="100" w:type="dxa"/>
              <w:right w:w="100" w:type="dxa"/>
            </w:tcMar>
          </w:tcPr>
          <w:p>
            <w:r>
              <w:rPr>
                <w:b/>
                <w:color w:val="FFFFFF"/>
                <w:sz w:val="17"/>
              </w:rPr>
              <w:t>기존 (인수 전)</w:t>
            </w:r>
          </w:p>
        </w:tc>
        <w:tc>
          <w:tcPr>
            <w:tcW w:type="dxa" w:w="2340"/>
            <w:shd w:fill="0F172A"/>
            <w:tcMar>
              <w:top w:w="80" w:type="dxa"/>
              <w:bottom w:w="80" w:type="dxa"/>
              <w:left w:w="100" w:type="dxa"/>
              <w:right w:w="100" w:type="dxa"/>
            </w:tcMar>
          </w:tcPr>
          <w:p>
            <w:r>
              <w:rPr>
                <w:b/>
                <w:color w:val="FFFFFF"/>
                <w:sz w:val="17"/>
              </w:rPr>
              <w:t>현재 (Broadcom 정책)</w:t>
            </w:r>
          </w:p>
        </w:tc>
        <w:tc>
          <w:tcPr>
            <w:tcW w:type="dxa" w:w="2340"/>
            <w:shd w:fill="0F172A"/>
            <w:tcMar>
              <w:top w:w="80" w:type="dxa"/>
              <w:bottom w:w="80" w:type="dxa"/>
              <w:left w:w="100" w:type="dxa"/>
              <w:right w:w="100" w:type="dxa"/>
            </w:tcMar>
          </w:tcPr>
          <w:p>
            <w:r>
              <w:rPr>
                <w:b/>
                <w:color w:val="FFFFFF"/>
                <w:sz w:val="17"/>
              </w:rPr>
              <w:t>고객사 체감 영향 및 Pain Points</w:t>
            </w:r>
          </w:p>
        </w:tc>
      </w:tr>
      <w:tr>
        <w:tc>
          <w:tcPr>
            <w:tcW w:type="dxa" w:w="2340"/>
            <w:shd w:fill="F8FAFC"/>
            <w:tcMar>
              <w:top w:w="60" w:type="dxa"/>
              <w:bottom w:w="60" w:type="dxa"/>
              <w:left w:w="80" w:type="dxa"/>
              <w:right w:w="80" w:type="dxa"/>
            </w:tcMar>
          </w:tcPr>
          <w:p>
            <w:r>
              <w:rPr>
                <w:sz w:val="16"/>
              </w:rPr>
              <w:t>라이선스 모델</w:t>
            </w:r>
          </w:p>
        </w:tc>
        <w:tc>
          <w:tcPr>
            <w:tcW w:type="dxa" w:w="2340"/>
            <w:shd w:fill="F8FAFC"/>
            <w:tcMar>
              <w:top w:w="60" w:type="dxa"/>
              <w:bottom w:w="60" w:type="dxa"/>
              <w:left w:w="80" w:type="dxa"/>
              <w:right w:w="80" w:type="dxa"/>
            </w:tcMar>
          </w:tcPr>
          <w:p>
            <w:r>
              <w:rPr>
                <w:sz w:val="16"/>
              </w:rPr>
              <w:t>영구 라이선스 + SnS</w:t>
            </w:r>
          </w:p>
        </w:tc>
        <w:tc>
          <w:tcPr>
            <w:tcW w:type="dxa" w:w="2340"/>
            <w:shd w:fill="F8FAFC"/>
            <w:tcMar>
              <w:top w:w="60" w:type="dxa"/>
              <w:bottom w:w="60" w:type="dxa"/>
              <w:left w:w="80" w:type="dxa"/>
              <w:right w:w="80" w:type="dxa"/>
            </w:tcMar>
          </w:tcPr>
          <w:p>
            <w:r>
              <w:rPr>
                <w:sz w:val="16"/>
              </w:rPr>
              <w:t>구독형 (Subscription) 강제</w:t>
            </w:r>
          </w:p>
        </w:tc>
        <w:tc>
          <w:tcPr>
            <w:tcW w:type="dxa" w:w="2340"/>
            <w:shd w:fill="F8FAFC"/>
            <w:tcMar>
              <w:top w:w="60" w:type="dxa"/>
              <w:bottom w:w="60" w:type="dxa"/>
              <w:left w:w="80" w:type="dxa"/>
              <w:right w:w="80" w:type="dxa"/>
            </w:tcMar>
          </w:tcPr>
          <w:p>
            <w:r>
              <w:rPr>
                <w:sz w:val="16"/>
              </w:rPr>
              <w:t>소유권 상실, 구독료 미납 시 운영 중단 위험</w:t>
            </w:r>
          </w:p>
        </w:tc>
      </w:tr>
      <w:tr>
        <w:tc>
          <w:tcPr>
            <w:tcW w:type="dxa" w:w="2340"/>
            <w:shd w:fill="FFFFFF"/>
            <w:tcMar>
              <w:top w:w="60" w:type="dxa"/>
              <w:bottom w:w="60" w:type="dxa"/>
              <w:left w:w="80" w:type="dxa"/>
              <w:right w:w="80" w:type="dxa"/>
            </w:tcMar>
          </w:tcPr>
          <w:p>
            <w:r>
              <w:rPr>
                <w:sz w:val="16"/>
              </w:rPr>
              <w:t>과금 단위</w:t>
            </w:r>
          </w:p>
        </w:tc>
        <w:tc>
          <w:tcPr>
            <w:tcW w:type="dxa" w:w="2340"/>
            <w:shd w:fill="FFFFFF"/>
            <w:tcMar>
              <w:top w:w="60" w:type="dxa"/>
              <w:bottom w:w="60" w:type="dxa"/>
              <w:left w:w="80" w:type="dxa"/>
              <w:right w:w="80" w:type="dxa"/>
            </w:tcMar>
          </w:tcPr>
          <w:p>
            <w:r>
              <w:rPr>
                <w:sz w:val="16"/>
              </w:rPr>
              <w:t>CPU 소켓 단위</w:t>
            </w:r>
          </w:p>
        </w:tc>
        <w:tc>
          <w:tcPr>
            <w:tcW w:type="dxa" w:w="2340"/>
            <w:shd w:fill="FFFFFF"/>
            <w:tcMar>
              <w:top w:w="60" w:type="dxa"/>
              <w:bottom w:w="60" w:type="dxa"/>
              <w:left w:w="80" w:type="dxa"/>
              <w:right w:w="80" w:type="dxa"/>
            </w:tcMar>
          </w:tcPr>
          <w:p>
            <w:r>
              <w:rPr>
                <w:sz w:val="16"/>
              </w:rPr>
              <w:t>물리 코어(Core) 단위 (최소 16코어)</w:t>
            </w:r>
          </w:p>
        </w:tc>
        <w:tc>
          <w:tcPr>
            <w:tcW w:type="dxa" w:w="2340"/>
            <w:shd w:fill="FFFFFF"/>
            <w:tcMar>
              <w:top w:w="60" w:type="dxa"/>
              <w:bottom w:w="60" w:type="dxa"/>
              <w:left w:w="80" w:type="dxa"/>
              <w:right w:w="80" w:type="dxa"/>
            </w:tcMar>
          </w:tcPr>
          <w:p>
            <w:r>
              <w:rPr>
                <w:sz w:val="16"/>
              </w:rPr>
              <w:t>최신 고밀도 서버(32~64 코어) 라이선스 비용 급증</w:t>
            </w:r>
          </w:p>
        </w:tc>
      </w:tr>
      <w:tr>
        <w:tc>
          <w:tcPr>
            <w:tcW w:type="dxa" w:w="2340"/>
            <w:shd w:fill="F8FAFC"/>
            <w:tcMar>
              <w:top w:w="60" w:type="dxa"/>
              <w:bottom w:w="60" w:type="dxa"/>
              <w:left w:w="80" w:type="dxa"/>
              <w:right w:w="80" w:type="dxa"/>
            </w:tcMar>
          </w:tcPr>
          <w:p>
            <w:r>
              <w:rPr>
                <w:sz w:val="16"/>
              </w:rPr>
              <w:t>제품 패키징</w:t>
            </w:r>
          </w:p>
        </w:tc>
        <w:tc>
          <w:tcPr>
            <w:tcW w:type="dxa" w:w="2340"/>
            <w:shd w:fill="F8FAFC"/>
            <w:tcMar>
              <w:top w:w="60" w:type="dxa"/>
              <w:bottom w:w="60" w:type="dxa"/>
              <w:left w:w="80" w:type="dxa"/>
              <w:right w:w="80" w:type="dxa"/>
            </w:tcMar>
          </w:tcPr>
          <w:p>
            <w:r>
              <w:rPr>
                <w:sz w:val="16"/>
              </w:rPr>
              <w:t>160여 개 개별 SKU 선택</w:t>
            </w:r>
          </w:p>
        </w:tc>
        <w:tc>
          <w:tcPr>
            <w:tcW w:type="dxa" w:w="2340"/>
            <w:shd w:fill="F8FAFC"/>
            <w:tcMar>
              <w:top w:w="60" w:type="dxa"/>
              <w:bottom w:w="60" w:type="dxa"/>
              <w:left w:w="80" w:type="dxa"/>
              <w:right w:w="80" w:type="dxa"/>
            </w:tcMar>
          </w:tcPr>
          <w:p>
            <w:r>
              <w:rPr>
                <w:sz w:val="16"/>
              </w:rPr>
              <w:t>VCF / VVF 메가 번들 강제화</w:t>
            </w:r>
          </w:p>
        </w:tc>
        <w:tc>
          <w:tcPr>
            <w:tcW w:type="dxa" w:w="2340"/>
            <w:shd w:fill="F8FAFC"/>
            <w:tcMar>
              <w:top w:w="60" w:type="dxa"/>
              <w:bottom w:w="60" w:type="dxa"/>
              <w:left w:w="80" w:type="dxa"/>
              <w:right w:w="80" w:type="dxa"/>
            </w:tcMar>
          </w:tcPr>
          <w:p>
            <w:r>
              <w:rPr>
                <w:sz w:val="16"/>
              </w:rPr>
              <w:t>미사용 기능(vSAN, NSX 등) 강제 구매 (Shelfware)</w:t>
            </w:r>
          </w:p>
        </w:tc>
      </w:tr>
      <w:tr>
        <w:tc>
          <w:tcPr>
            <w:tcW w:type="dxa" w:w="2340"/>
            <w:shd w:fill="FFFFFF"/>
            <w:tcMar>
              <w:top w:w="60" w:type="dxa"/>
              <w:bottom w:w="60" w:type="dxa"/>
              <w:left w:w="80" w:type="dxa"/>
              <w:right w:w="80" w:type="dxa"/>
            </w:tcMar>
          </w:tcPr>
          <w:p>
            <w:r>
              <w:rPr>
                <w:sz w:val="16"/>
              </w:rPr>
              <w:t>계약 기간</w:t>
            </w:r>
          </w:p>
        </w:tc>
        <w:tc>
          <w:tcPr>
            <w:tcW w:type="dxa" w:w="2340"/>
            <w:shd w:fill="FFFFFF"/>
            <w:tcMar>
              <w:top w:w="60" w:type="dxa"/>
              <w:bottom w:w="60" w:type="dxa"/>
              <w:left w:w="80" w:type="dxa"/>
              <w:right w:w="80" w:type="dxa"/>
            </w:tcMar>
          </w:tcPr>
          <w:p>
            <w:r>
              <w:rPr>
                <w:sz w:val="16"/>
              </w:rPr>
              <w:t>1, 3, 5년 유연 선택</w:t>
            </w:r>
          </w:p>
        </w:tc>
        <w:tc>
          <w:tcPr>
            <w:tcW w:type="dxa" w:w="2340"/>
            <w:shd w:fill="FFFFFF"/>
            <w:tcMar>
              <w:top w:w="60" w:type="dxa"/>
              <w:bottom w:w="60" w:type="dxa"/>
              <w:left w:w="80" w:type="dxa"/>
              <w:right w:w="80" w:type="dxa"/>
            </w:tcMar>
          </w:tcPr>
          <w:p>
            <w:r>
              <w:rPr>
                <w:sz w:val="16"/>
              </w:rPr>
              <w:t>3년 약정 기본화</w:t>
            </w:r>
          </w:p>
        </w:tc>
        <w:tc>
          <w:tcPr>
            <w:tcW w:type="dxa" w:w="2340"/>
            <w:shd w:fill="FFFFFF"/>
            <w:tcMar>
              <w:top w:w="60" w:type="dxa"/>
              <w:bottom w:w="60" w:type="dxa"/>
              <w:left w:w="80" w:type="dxa"/>
              <w:right w:w="80" w:type="dxa"/>
            </w:tcMar>
          </w:tcPr>
          <w:p>
            <w:r>
              <w:rPr>
                <w:sz w:val="16"/>
              </w:rPr>
              <w:t>예산 운용 경직성 및 대규모 일시 약정 부담</w:t>
            </w:r>
          </w:p>
        </w:tc>
      </w:tr>
      <w:tr>
        <w:tc>
          <w:tcPr>
            <w:tcW w:type="dxa" w:w="2340"/>
            <w:shd w:fill="F8FAFC"/>
            <w:tcMar>
              <w:top w:w="60" w:type="dxa"/>
              <w:bottom w:w="60" w:type="dxa"/>
              <w:left w:w="80" w:type="dxa"/>
              <w:right w:w="80" w:type="dxa"/>
            </w:tcMar>
          </w:tcPr>
          <w:p>
            <w:r>
              <w:rPr>
                <w:sz w:val="16"/>
              </w:rPr>
              <w:t>파트너/지원</w:t>
            </w:r>
          </w:p>
        </w:tc>
        <w:tc>
          <w:tcPr>
            <w:tcW w:type="dxa" w:w="2340"/>
            <w:shd w:fill="F8FAFC"/>
            <w:tcMar>
              <w:top w:w="60" w:type="dxa"/>
              <w:bottom w:w="60" w:type="dxa"/>
              <w:left w:w="80" w:type="dxa"/>
              <w:right w:w="80" w:type="dxa"/>
            </w:tcMar>
          </w:tcPr>
          <w:p>
            <w:r>
              <w:rPr>
                <w:sz w:val="16"/>
              </w:rPr>
              <w:t>다양한 국내 파트너 체계</w:t>
            </w:r>
          </w:p>
        </w:tc>
        <w:tc>
          <w:tcPr>
            <w:tcW w:type="dxa" w:w="2340"/>
            <w:shd w:fill="F8FAFC"/>
            <w:tcMar>
              <w:top w:w="60" w:type="dxa"/>
              <w:bottom w:w="60" w:type="dxa"/>
              <w:left w:w="80" w:type="dxa"/>
              <w:right w:w="80" w:type="dxa"/>
            </w:tcMar>
          </w:tcPr>
          <w:p>
            <w:r>
              <w:rPr>
                <w:sz w:val="16"/>
              </w:rPr>
              <w:t>파트너 티어 대폭 축소</w:t>
            </w:r>
          </w:p>
        </w:tc>
        <w:tc>
          <w:tcPr>
            <w:tcW w:type="dxa" w:w="2340"/>
            <w:shd w:fill="F8FAFC"/>
            <w:tcMar>
              <w:top w:w="60" w:type="dxa"/>
              <w:bottom w:w="60" w:type="dxa"/>
              <w:left w:w="80" w:type="dxa"/>
              <w:right w:w="80" w:type="dxa"/>
            </w:tcMar>
          </w:tcPr>
          <w:p>
            <w:r>
              <w:rPr>
                <w:sz w:val="16"/>
              </w:rPr>
              <w:t>기술 지원 공백 및 전담 엔지니어 부족 우려</w:t>
            </w:r>
          </w:p>
        </w:tc>
      </w:tr>
    </w:tbl>
    <w:p>
      <w:pPr>
        <w:spacing w:before="360" w:after="160"/>
      </w:pPr>
      <w:r>
        <w:rPr>
          <w:b/>
          <w:color w:val="0F172A"/>
          <w:sz w:val="27"/>
        </w:rPr>
        <w:t>2. VMware 제품군 구조 및 Shelfware 맹점 분석</w:t>
      </w:r>
    </w:p>
    <w:p>
      <w:pPr>
        <w:spacing w:after="120"/>
      </w:pPr>
      <w:r>
        <w:rPr>
          <w:color w:val="334155"/>
          <w:sz w:val="19"/>
        </w:rPr>
        <w:t>Broadcom은 고객의 실제 환경과 무관하게 VCF(풀스택 번들, 코어당 연 $100~$200+)와 VVF(경량 번들, 코어당 연 $50~$100) 단 두 가지만을 판매하고 있습니다. 국내 대다수 엔터프라이즈는 이미 고성능 외장 SAN 스토리지를 운영 중임에도 불필요한 vSAN 소프트웨어 비용을 지불해야 하며, 물리 하드웨어 방화벽을 쓰면서도 복잡한 NSX 비용을 강제 지불하는 'Shelfware(미사용 잉여 기능 강매)' 현상에 시달리고 있습니다.</w:t>
      </w:r>
    </w:p>
    <w:p>
      <w:pPr>
        <w:spacing w:before="360" w:after="160"/>
      </w:pPr>
      <w:r>
        <w:rPr>
          <w:b/>
          <w:color w:val="0F172A"/>
          <w:sz w:val="27"/>
        </w:rPr>
        <w:t>3. Red Hat OpenShift &amp; Nutanix 대체 영역 1:1 매핑</w:t>
      </w:r>
    </w:p>
    <w:p>
      <w:pPr>
        <w:spacing w:after="120"/>
      </w:pPr>
      <w:r>
        <w:rPr>
          <w:color w:val="334155"/>
          <w:sz w:val="19"/>
        </w:rPr>
        <w:t>Nutanix Cloud Platform과 Red Hat OpenShift는 VMware의 하이퍼바이저, 분산 스토리지, 가상화 관리, 네트워크 보안, K8s 플랫폼, AI 스택까지 전 영역을 완벽하게 1:1 대체합니다.</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r>
              <w:rPr>
                <w:b/>
                <w:color w:val="FFFFFF"/>
                <w:sz w:val="17"/>
              </w:rPr>
              <w:t>인프라 영역</w:t>
            </w:r>
          </w:p>
        </w:tc>
        <w:tc>
          <w:tcPr>
            <w:tcW w:type="dxa" w:w="1872"/>
            <w:shd w:fill="1E3A8A"/>
            <w:tcMar>
              <w:top w:w="80" w:type="dxa"/>
              <w:bottom w:w="80" w:type="dxa"/>
              <w:left w:w="100" w:type="dxa"/>
              <w:right w:w="100" w:type="dxa"/>
            </w:tcMar>
          </w:tcPr>
          <w:p>
            <w:r>
              <w:rPr>
                <w:b/>
                <w:color w:val="FFFFFF"/>
                <w:sz w:val="17"/>
              </w:rPr>
              <w:t>VMware 기존 컴포넌트</w:t>
            </w:r>
          </w:p>
        </w:tc>
        <w:tc>
          <w:tcPr>
            <w:tcW w:type="dxa" w:w="1872"/>
            <w:shd w:fill="1E3A8A"/>
            <w:tcMar>
              <w:top w:w="80" w:type="dxa"/>
              <w:bottom w:w="80" w:type="dxa"/>
              <w:left w:w="100" w:type="dxa"/>
              <w:right w:w="100" w:type="dxa"/>
            </w:tcMar>
          </w:tcPr>
          <w:p>
            <w:r>
              <w:rPr>
                <w:b/>
                <w:color w:val="FFFFFF"/>
                <w:sz w:val="17"/>
              </w:rPr>
              <w:t>Nutanix 대체 솔루션</w:t>
            </w:r>
          </w:p>
        </w:tc>
        <w:tc>
          <w:tcPr>
            <w:tcW w:type="dxa" w:w="1872"/>
            <w:shd w:fill="1E3A8A"/>
            <w:tcMar>
              <w:top w:w="80" w:type="dxa"/>
              <w:bottom w:w="80" w:type="dxa"/>
              <w:left w:w="100" w:type="dxa"/>
              <w:right w:w="100" w:type="dxa"/>
            </w:tcMar>
          </w:tcPr>
          <w:p>
            <w:r>
              <w:rPr>
                <w:b/>
                <w:color w:val="FFFFFF"/>
                <w:sz w:val="17"/>
              </w:rPr>
              <w:t>Red Hat OpenShift 대체</w:t>
            </w:r>
          </w:p>
        </w:tc>
        <w:tc>
          <w:tcPr>
            <w:tcW w:type="dxa" w:w="1872"/>
            <w:shd w:fill="1E3A8A"/>
            <w:tcMar>
              <w:top w:w="80" w:type="dxa"/>
              <w:bottom w:w="80" w:type="dxa"/>
              <w:left w:w="100" w:type="dxa"/>
              <w:right w:w="100" w:type="dxa"/>
            </w:tcMar>
          </w:tcPr>
          <w:p>
            <w:r>
              <w:rPr>
                <w:b/>
                <w:color w:val="FFFFFF"/>
                <w:sz w:val="17"/>
              </w:rPr>
              <w:t>핵심 고객 이점</w:t>
            </w:r>
          </w:p>
        </w:tc>
      </w:tr>
      <w:tr>
        <w:tc>
          <w:tcPr>
            <w:tcW w:type="dxa" w:w="1872"/>
            <w:shd w:fill="F8FAFC"/>
            <w:tcMar>
              <w:top w:w="60" w:type="dxa"/>
              <w:bottom w:w="60" w:type="dxa"/>
              <w:left w:w="80" w:type="dxa"/>
              <w:right w:w="80" w:type="dxa"/>
            </w:tcMar>
          </w:tcPr>
          <w:p>
            <w:r>
              <w:rPr>
                <w:sz w:val="16"/>
              </w:rPr>
              <w:t>하이퍼바이저</w:t>
            </w:r>
          </w:p>
        </w:tc>
        <w:tc>
          <w:tcPr>
            <w:tcW w:type="dxa" w:w="1872"/>
            <w:shd w:fill="F8FAFC"/>
            <w:tcMar>
              <w:top w:w="60" w:type="dxa"/>
              <w:bottom w:w="60" w:type="dxa"/>
              <w:left w:w="80" w:type="dxa"/>
              <w:right w:w="80" w:type="dxa"/>
            </w:tcMar>
          </w:tcPr>
          <w:p>
            <w:r>
              <w:rPr>
                <w:sz w:val="16"/>
              </w:rPr>
              <w:t>ESXi Hypervisor</w:t>
            </w:r>
          </w:p>
        </w:tc>
        <w:tc>
          <w:tcPr>
            <w:tcW w:type="dxa" w:w="1872"/>
            <w:shd w:fill="F8FAFC"/>
            <w:tcMar>
              <w:top w:w="60" w:type="dxa"/>
              <w:bottom w:w="60" w:type="dxa"/>
              <w:left w:w="80" w:type="dxa"/>
              <w:right w:w="80" w:type="dxa"/>
            </w:tcMar>
          </w:tcPr>
          <w:p>
            <w:r>
              <w:rPr>
                <w:sz w:val="16"/>
              </w:rPr>
              <w:t>AHV (NCI 내장 무료)</w:t>
            </w:r>
          </w:p>
        </w:tc>
        <w:tc>
          <w:tcPr>
            <w:tcW w:type="dxa" w:w="1872"/>
            <w:shd w:fill="F8FAFC"/>
            <w:tcMar>
              <w:top w:w="60" w:type="dxa"/>
              <w:bottom w:w="60" w:type="dxa"/>
              <w:left w:w="80" w:type="dxa"/>
              <w:right w:w="80" w:type="dxa"/>
            </w:tcMar>
          </w:tcPr>
          <w:p>
            <w:r>
              <w:rPr>
                <w:sz w:val="16"/>
              </w:rPr>
              <w:t>KVM (OpenShift Virt.)</w:t>
            </w:r>
          </w:p>
        </w:tc>
        <w:tc>
          <w:tcPr>
            <w:tcW w:type="dxa" w:w="1872"/>
            <w:shd w:fill="F8FAFC"/>
            <w:tcMar>
              <w:top w:w="60" w:type="dxa"/>
              <w:bottom w:w="60" w:type="dxa"/>
              <w:left w:w="80" w:type="dxa"/>
              <w:right w:w="80" w:type="dxa"/>
            </w:tcMar>
          </w:tcPr>
          <w:p>
            <w:r>
              <w:rPr>
                <w:sz w:val="16"/>
              </w:rPr>
              <w:t>NCI 구독 내 무료 포함으로 중복 과금 제거</w:t>
            </w:r>
          </w:p>
        </w:tc>
      </w:tr>
      <w:tr>
        <w:tc>
          <w:tcPr>
            <w:tcW w:type="dxa" w:w="1872"/>
            <w:shd w:fill="FFFFFF"/>
            <w:tcMar>
              <w:top w:w="60" w:type="dxa"/>
              <w:bottom w:w="60" w:type="dxa"/>
              <w:left w:w="80" w:type="dxa"/>
              <w:right w:w="80" w:type="dxa"/>
            </w:tcMar>
          </w:tcPr>
          <w:p>
            <w:r>
              <w:rPr>
                <w:sz w:val="16"/>
              </w:rPr>
              <w:t>가상화 통합관리</w:t>
            </w:r>
          </w:p>
        </w:tc>
        <w:tc>
          <w:tcPr>
            <w:tcW w:type="dxa" w:w="1872"/>
            <w:shd w:fill="FFFFFF"/>
            <w:tcMar>
              <w:top w:w="60" w:type="dxa"/>
              <w:bottom w:w="60" w:type="dxa"/>
              <w:left w:w="80" w:type="dxa"/>
              <w:right w:w="80" w:type="dxa"/>
            </w:tcMar>
          </w:tcPr>
          <w:p>
            <w:r>
              <w:rPr>
                <w:sz w:val="16"/>
              </w:rPr>
              <w:t>vCenter Server</w:t>
            </w:r>
          </w:p>
        </w:tc>
        <w:tc>
          <w:tcPr>
            <w:tcW w:type="dxa" w:w="1872"/>
            <w:shd w:fill="FFFFFF"/>
            <w:tcMar>
              <w:top w:w="60" w:type="dxa"/>
              <w:bottom w:w="60" w:type="dxa"/>
              <w:left w:w="80" w:type="dxa"/>
              <w:right w:w="80" w:type="dxa"/>
            </w:tcMar>
          </w:tcPr>
          <w:p>
            <w:r>
              <w:rPr>
                <w:sz w:val="16"/>
              </w:rPr>
              <w:t>Prism Central</w:t>
            </w:r>
          </w:p>
        </w:tc>
        <w:tc>
          <w:tcPr>
            <w:tcW w:type="dxa" w:w="1872"/>
            <w:shd w:fill="FFFFFF"/>
            <w:tcMar>
              <w:top w:w="60" w:type="dxa"/>
              <w:bottom w:w="60" w:type="dxa"/>
              <w:left w:w="80" w:type="dxa"/>
              <w:right w:w="80" w:type="dxa"/>
            </w:tcMar>
          </w:tcPr>
          <w:p>
            <w:r>
              <w:rPr>
                <w:sz w:val="16"/>
              </w:rPr>
              <w:t>OpenShift Console + ACM</w:t>
            </w:r>
          </w:p>
        </w:tc>
        <w:tc>
          <w:tcPr>
            <w:tcW w:type="dxa" w:w="1872"/>
            <w:shd w:fill="FFFFFF"/>
            <w:tcMar>
              <w:top w:w="60" w:type="dxa"/>
              <w:bottom w:w="60" w:type="dxa"/>
              <w:left w:w="80" w:type="dxa"/>
              <w:right w:w="80" w:type="dxa"/>
            </w:tcMar>
          </w:tcPr>
          <w:p>
            <w:r>
              <w:rPr>
                <w:sz w:val="16"/>
              </w:rPr>
              <w:t>수천 개 VM 및 K8s 클러스터 단일 뷰 통합 관제</w:t>
            </w:r>
          </w:p>
        </w:tc>
      </w:tr>
      <w:tr>
        <w:tc>
          <w:tcPr>
            <w:tcW w:type="dxa" w:w="1872"/>
            <w:shd w:fill="F8FAFC"/>
            <w:tcMar>
              <w:top w:w="60" w:type="dxa"/>
              <w:bottom w:w="60" w:type="dxa"/>
              <w:left w:w="80" w:type="dxa"/>
              <w:right w:w="80" w:type="dxa"/>
            </w:tcMar>
          </w:tcPr>
          <w:p>
            <w:r>
              <w:rPr>
                <w:sz w:val="16"/>
              </w:rPr>
              <w:t>HCI 분산스토리지</w:t>
            </w:r>
          </w:p>
        </w:tc>
        <w:tc>
          <w:tcPr>
            <w:tcW w:type="dxa" w:w="1872"/>
            <w:shd w:fill="F8FAFC"/>
            <w:tcMar>
              <w:top w:w="60" w:type="dxa"/>
              <w:bottom w:w="60" w:type="dxa"/>
              <w:left w:w="80" w:type="dxa"/>
              <w:right w:w="80" w:type="dxa"/>
            </w:tcMar>
          </w:tcPr>
          <w:p>
            <w:r>
              <w:rPr>
                <w:sz w:val="16"/>
              </w:rPr>
              <w:t>vSAN</w:t>
            </w:r>
          </w:p>
        </w:tc>
        <w:tc>
          <w:tcPr>
            <w:tcW w:type="dxa" w:w="1872"/>
            <w:shd w:fill="F8FAFC"/>
            <w:tcMar>
              <w:top w:w="60" w:type="dxa"/>
              <w:bottom w:w="60" w:type="dxa"/>
              <w:left w:w="80" w:type="dxa"/>
              <w:right w:w="80" w:type="dxa"/>
            </w:tcMar>
          </w:tcPr>
          <w:p>
            <w:r>
              <w:rPr>
                <w:sz w:val="16"/>
              </w:rPr>
              <w:t>DSF (Distributed Fabric)</w:t>
            </w:r>
          </w:p>
        </w:tc>
        <w:tc>
          <w:tcPr>
            <w:tcW w:type="dxa" w:w="1872"/>
            <w:shd w:fill="F8FAFC"/>
            <w:tcMar>
              <w:top w:w="60" w:type="dxa"/>
              <w:bottom w:w="60" w:type="dxa"/>
              <w:left w:w="80" w:type="dxa"/>
              <w:right w:w="80" w:type="dxa"/>
            </w:tcMar>
          </w:tcPr>
          <w:p>
            <w:r>
              <w:rPr>
                <w:sz w:val="16"/>
              </w:rPr>
              <w:t>ODF (Data Foundation)</w:t>
            </w:r>
          </w:p>
        </w:tc>
        <w:tc>
          <w:tcPr>
            <w:tcW w:type="dxa" w:w="1872"/>
            <w:shd w:fill="F8FAFC"/>
            <w:tcMar>
              <w:top w:w="60" w:type="dxa"/>
              <w:bottom w:w="60" w:type="dxa"/>
              <w:left w:w="80" w:type="dxa"/>
              <w:right w:w="80" w:type="dxa"/>
            </w:tcMar>
          </w:tcPr>
          <w:p>
            <w:r>
              <w:rPr>
                <w:sz w:val="16"/>
              </w:rPr>
              <w:t>실시간 중복제거/압축 및 선형적 용량/성능 확장</w:t>
            </w:r>
          </w:p>
        </w:tc>
      </w:tr>
      <w:tr>
        <w:tc>
          <w:tcPr>
            <w:tcW w:type="dxa" w:w="1872"/>
            <w:shd w:fill="FFFFFF"/>
            <w:tcMar>
              <w:top w:w="60" w:type="dxa"/>
              <w:bottom w:w="60" w:type="dxa"/>
              <w:left w:w="80" w:type="dxa"/>
              <w:right w:w="80" w:type="dxa"/>
            </w:tcMar>
          </w:tcPr>
          <w:p>
            <w:r>
              <w:rPr>
                <w:sz w:val="16"/>
              </w:rPr>
              <w:t>네트워크/보안</w:t>
            </w:r>
          </w:p>
        </w:tc>
        <w:tc>
          <w:tcPr>
            <w:tcW w:type="dxa" w:w="1872"/>
            <w:shd w:fill="FFFFFF"/>
            <w:tcMar>
              <w:top w:w="60" w:type="dxa"/>
              <w:bottom w:w="60" w:type="dxa"/>
              <w:left w:w="80" w:type="dxa"/>
              <w:right w:w="80" w:type="dxa"/>
            </w:tcMar>
          </w:tcPr>
          <w:p>
            <w:r>
              <w:rPr>
                <w:sz w:val="16"/>
              </w:rPr>
              <w:t>NSX</w:t>
            </w:r>
          </w:p>
        </w:tc>
        <w:tc>
          <w:tcPr>
            <w:tcW w:type="dxa" w:w="1872"/>
            <w:shd w:fill="FFFFFF"/>
            <w:tcMar>
              <w:top w:w="60" w:type="dxa"/>
              <w:bottom w:w="60" w:type="dxa"/>
              <w:left w:w="80" w:type="dxa"/>
              <w:right w:w="80" w:type="dxa"/>
            </w:tcMar>
          </w:tcPr>
          <w:p>
            <w:r>
              <w:rPr>
                <w:sz w:val="16"/>
              </w:rPr>
              <w:t>Flow Network Security</w:t>
            </w:r>
          </w:p>
        </w:tc>
        <w:tc>
          <w:tcPr>
            <w:tcW w:type="dxa" w:w="1872"/>
            <w:shd w:fill="FFFFFF"/>
            <w:tcMar>
              <w:top w:w="60" w:type="dxa"/>
              <w:bottom w:w="60" w:type="dxa"/>
              <w:left w:w="80" w:type="dxa"/>
              <w:right w:w="80" w:type="dxa"/>
            </w:tcMar>
          </w:tcPr>
          <w:p>
            <w:r>
              <w:rPr>
                <w:sz w:val="16"/>
              </w:rPr>
              <w:t>OVN-Kubernetes + ACS</w:t>
            </w:r>
          </w:p>
        </w:tc>
        <w:tc>
          <w:tcPr>
            <w:tcW w:type="dxa" w:w="1872"/>
            <w:shd w:fill="FFFFFF"/>
            <w:tcMar>
              <w:top w:w="60" w:type="dxa"/>
              <w:bottom w:w="60" w:type="dxa"/>
              <w:left w:w="80" w:type="dxa"/>
              <w:right w:w="80" w:type="dxa"/>
            </w:tcMar>
          </w:tcPr>
          <w:p>
            <w:r>
              <w:rPr>
                <w:sz w:val="16"/>
              </w:rPr>
              <w:t>간편한 마이크로세그멘테이션으로 운영 공수 70% 절감</w:t>
            </w:r>
          </w:p>
        </w:tc>
      </w:tr>
      <w:tr>
        <w:tc>
          <w:tcPr>
            <w:tcW w:type="dxa" w:w="1872"/>
            <w:shd w:fill="F8FAFC"/>
            <w:tcMar>
              <w:top w:w="60" w:type="dxa"/>
              <w:bottom w:w="60" w:type="dxa"/>
              <w:left w:w="80" w:type="dxa"/>
              <w:right w:w="80" w:type="dxa"/>
            </w:tcMar>
          </w:tcPr>
          <w:p>
            <w:r>
              <w:rPr>
                <w:sz w:val="16"/>
              </w:rPr>
              <w:t>컨테이너/K8s</w:t>
            </w:r>
          </w:p>
        </w:tc>
        <w:tc>
          <w:tcPr>
            <w:tcW w:type="dxa" w:w="1872"/>
            <w:shd w:fill="F8FAFC"/>
            <w:tcMar>
              <w:top w:w="60" w:type="dxa"/>
              <w:bottom w:w="60" w:type="dxa"/>
              <w:left w:w="80" w:type="dxa"/>
              <w:right w:w="80" w:type="dxa"/>
            </w:tcMar>
          </w:tcPr>
          <w:p>
            <w:r>
              <w:rPr>
                <w:sz w:val="16"/>
              </w:rPr>
              <w:t>Tanzu</w:t>
            </w:r>
          </w:p>
        </w:tc>
        <w:tc>
          <w:tcPr>
            <w:tcW w:type="dxa" w:w="1872"/>
            <w:shd w:fill="F8FAFC"/>
            <w:tcMar>
              <w:top w:w="60" w:type="dxa"/>
              <w:bottom w:w="60" w:type="dxa"/>
              <w:left w:w="80" w:type="dxa"/>
              <w:right w:w="80" w:type="dxa"/>
            </w:tcMar>
          </w:tcPr>
          <w:p>
            <w:r>
              <w:rPr>
                <w:sz w:val="16"/>
              </w:rPr>
              <w:t>NKP (Kubernetes Plat.)</w:t>
            </w:r>
          </w:p>
        </w:tc>
        <w:tc>
          <w:tcPr>
            <w:tcW w:type="dxa" w:w="1872"/>
            <w:shd w:fill="F8FAFC"/>
            <w:tcMar>
              <w:top w:w="60" w:type="dxa"/>
              <w:bottom w:w="60" w:type="dxa"/>
              <w:left w:w="80" w:type="dxa"/>
              <w:right w:w="80" w:type="dxa"/>
            </w:tcMar>
          </w:tcPr>
          <w:p>
            <w:r>
              <w:rPr>
                <w:sz w:val="16"/>
              </w:rPr>
              <w:t>OpenShift Container Plat.</w:t>
            </w:r>
          </w:p>
        </w:tc>
        <w:tc>
          <w:tcPr>
            <w:tcW w:type="dxa" w:w="1872"/>
            <w:shd w:fill="F8FAFC"/>
            <w:tcMar>
              <w:top w:w="60" w:type="dxa"/>
              <w:bottom w:w="60" w:type="dxa"/>
              <w:left w:w="80" w:type="dxa"/>
              <w:right w:w="80" w:type="dxa"/>
            </w:tcMar>
          </w:tcPr>
          <w:p>
            <w:r>
              <w:rPr>
                <w:sz w:val="16"/>
              </w:rPr>
              <w:t>CNCF 완벽 호환 및 엔터프라이즈 DevSecOps 내장</w:t>
            </w:r>
          </w:p>
        </w:tc>
      </w:tr>
      <w:tr>
        <w:tc>
          <w:tcPr>
            <w:tcW w:type="dxa" w:w="1872"/>
            <w:shd w:fill="FFFFFF"/>
            <w:tcMar>
              <w:top w:w="60" w:type="dxa"/>
              <w:bottom w:w="60" w:type="dxa"/>
              <w:left w:w="80" w:type="dxa"/>
              <w:right w:w="80" w:type="dxa"/>
            </w:tcMar>
          </w:tcPr>
          <w:p>
            <w:r>
              <w:rPr>
                <w:sz w:val="16"/>
              </w:rPr>
              <w:t>하이브리드 클라우드</w:t>
            </w:r>
          </w:p>
        </w:tc>
        <w:tc>
          <w:tcPr>
            <w:tcW w:type="dxa" w:w="1872"/>
            <w:shd w:fill="FFFFFF"/>
            <w:tcMar>
              <w:top w:w="60" w:type="dxa"/>
              <w:bottom w:w="60" w:type="dxa"/>
              <w:left w:w="80" w:type="dxa"/>
              <w:right w:w="80" w:type="dxa"/>
            </w:tcMar>
          </w:tcPr>
          <w:p>
            <w:r>
              <w:rPr>
                <w:sz w:val="16"/>
              </w:rPr>
              <w:t>VMware Cloud on AWS</w:t>
            </w:r>
          </w:p>
        </w:tc>
        <w:tc>
          <w:tcPr>
            <w:tcW w:type="dxa" w:w="1872"/>
            <w:shd w:fill="FFFFFF"/>
            <w:tcMar>
              <w:top w:w="60" w:type="dxa"/>
              <w:bottom w:w="60" w:type="dxa"/>
              <w:left w:w="80" w:type="dxa"/>
              <w:right w:w="80" w:type="dxa"/>
            </w:tcMar>
          </w:tcPr>
          <w:p>
            <w:r>
              <w:rPr>
                <w:sz w:val="16"/>
              </w:rPr>
              <w:t>NC2 on AWS / Azure</w:t>
            </w:r>
          </w:p>
        </w:tc>
        <w:tc>
          <w:tcPr>
            <w:tcW w:type="dxa" w:w="1872"/>
            <w:shd w:fill="FFFFFF"/>
            <w:tcMar>
              <w:top w:w="60" w:type="dxa"/>
              <w:bottom w:w="60" w:type="dxa"/>
              <w:left w:w="80" w:type="dxa"/>
              <w:right w:w="80" w:type="dxa"/>
            </w:tcMar>
          </w:tcPr>
          <w:p>
            <w:r>
              <w:rPr>
                <w:sz w:val="16"/>
              </w:rPr>
              <w:t>ROSA / ARO</w:t>
            </w:r>
          </w:p>
        </w:tc>
        <w:tc>
          <w:tcPr>
            <w:tcW w:type="dxa" w:w="1872"/>
            <w:shd w:fill="FFFFFF"/>
            <w:tcMar>
              <w:top w:w="60" w:type="dxa"/>
              <w:bottom w:w="60" w:type="dxa"/>
              <w:left w:w="80" w:type="dxa"/>
              <w:right w:w="80" w:type="dxa"/>
            </w:tcMar>
          </w:tcPr>
          <w:p>
            <w:r>
              <w:rPr>
                <w:sz w:val="16"/>
              </w:rPr>
              <w:t>AWS Native AI(Bedrock/S3) 연동 및 양방향 마이그레이션</w:t>
            </w:r>
          </w:p>
        </w:tc>
      </w:tr>
      <w:tr>
        <w:tc>
          <w:tcPr>
            <w:tcW w:type="dxa" w:w="1872"/>
            <w:shd w:fill="F8FAFC"/>
            <w:tcMar>
              <w:top w:w="60" w:type="dxa"/>
              <w:bottom w:w="60" w:type="dxa"/>
              <w:left w:w="80" w:type="dxa"/>
              <w:right w:w="80" w:type="dxa"/>
            </w:tcMar>
          </w:tcPr>
          <w:p>
            <w:r>
              <w:rPr>
                <w:sz w:val="16"/>
              </w:rPr>
              <w:t>AI/ML 인프라</w:t>
            </w:r>
          </w:p>
        </w:tc>
        <w:tc>
          <w:tcPr>
            <w:tcW w:type="dxa" w:w="1872"/>
            <w:shd w:fill="F8FAFC"/>
            <w:tcMar>
              <w:top w:w="60" w:type="dxa"/>
              <w:bottom w:w="60" w:type="dxa"/>
              <w:left w:w="80" w:type="dxa"/>
              <w:right w:w="80" w:type="dxa"/>
            </w:tcMar>
          </w:tcPr>
          <w:p>
            <w:r>
              <w:rPr>
                <w:sz w:val="16"/>
              </w:rPr>
              <w:t>VMware Private AI</w:t>
            </w:r>
          </w:p>
        </w:tc>
        <w:tc>
          <w:tcPr>
            <w:tcW w:type="dxa" w:w="1872"/>
            <w:shd w:fill="F8FAFC"/>
            <w:tcMar>
              <w:top w:w="60" w:type="dxa"/>
              <w:bottom w:w="60" w:type="dxa"/>
              <w:left w:w="80" w:type="dxa"/>
              <w:right w:w="80" w:type="dxa"/>
            </w:tcMar>
          </w:tcPr>
          <w:p>
            <w:r>
              <w:rPr>
                <w:sz w:val="16"/>
              </w:rPr>
              <w:t>NAI (Enterprise AI)</w:t>
            </w:r>
          </w:p>
        </w:tc>
        <w:tc>
          <w:tcPr>
            <w:tcW w:type="dxa" w:w="1872"/>
            <w:shd w:fill="F8FAFC"/>
            <w:tcMar>
              <w:top w:w="60" w:type="dxa"/>
              <w:bottom w:w="60" w:type="dxa"/>
              <w:left w:w="80" w:type="dxa"/>
              <w:right w:w="80" w:type="dxa"/>
            </w:tcMar>
          </w:tcPr>
          <w:p>
            <w:r>
              <w:rPr>
                <w:sz w:val="16"/>
              </w:rPr>
              <w:t>OpenShift AI (RHOAI)</w:t>
            </w:r>
          </w:p>
        </w:tc>
        <w:tc>
          <w:tcPr>
            <w:tcW w:type="dxa" w:w="1872"/>
            <w:shd w:fill="F8FAFC"/>
            <w:tcMar>
              <w:top w:w="60" w:type="dxa"/>
              <w:bottom w:w="60" w:type="dxa"/>
              <w:left w:w="80" w:type="dxa"/>
              <w:right w:w="80" w:type="dxa"/>
            </w:tcMar>
          </w:tcPr>
          <w:p>
            <w:r>
              <w:rPr>
                <w:sz w:val="16"/>
              </w:rPr>
              <w:t>NVIDIA GPU 턴키 통합 및 사내 폐쇄망 LLM 서빙</w:t>
            </w:r>
          </w:p>
        </w:tc>
      </w:tr>
      <w:tr>
        <w:tc>
          <w:tcPr>
            <w:tcW w:type="dxa" w:w="1872"/>
            <w:shd w:fill="FFFFFF"/>
            <w:tcMar>
              <w:top w:w="60" w:type="dxa"/>
              <w:bottom w:w="60" w:type="dxa"/>
              <w:left w:w="80" w:type="dxa"/>
              <w:right w:w="80" w:type="dxa"/>
            </w:tcMar>
          </w:tcPr>
          <w:p>
            <w:r>
              <w:rPr>
                <w:sz w:val="16"/>
              </w:rPr>
              <w:t>무중단 마이그레이션</w:t>
            </w:r>
          </w:p>
        </w:tc>
        <w:tc>
          <w:tcPr>
            <w:tcW w:type="dxa" w:w="1872"/>
            <w:shd w:fill="FFFFFF"/>
            <w:tcMar>
              <w:top w:w="60" w:type="dxa"/>
              <w:bottom w:w="60" w:type="dxa"/>
              <w:left w:w="80" w:type="dxa"/>
              <w:right w:w="80" w:type="dxa"/>
            </w:tcMar>
          </w:tcPr>
          <w:p>
            <w:r>
              <w:rPr>
                <w:sz w:val="16"/>
              </w:rPr>
              <w:t>HCX</w:t>
            </w:r>
          </w:p>
        </w:tc>
        <w:tc>
          <w:tcPr>
            <w:tcW w:type="dxa" w:w="1872"/>
            <w:shd w:fill="FFFFFF"/>
            <w:tcMar>
              <w:top w:w="60" w:type="dxa"/>
              <w:bottom w:w="60" w:type="dxa"/>
              <w:left w:w="80" w:type="dxa"/>
              <w:right w:w="80" w:type="dxa"/>
            </w:tcMar>
          </w:tcPr>
          <w:p>
            <w:r>
              <w:rPr>
                <w:sz w:val="16"/>
              </w:rPr>
              <w:t>Nutanix Move (무상)</w:t>
            </w:r>
          </w:p>
        </w:tc>
        <w:tc>
          <w:tcPr>
            <w:tcW w:type="dxa" w:w="1872"/>
            <w:shd w:fill="FFFFFF"/>
            <w:tcMar>
              <w:top w:w="60" w:type="dxa"/>
              <w:bottom w:w="60" w:type="dxa"/>
              <w:left w:w="80" w:type="dxa"/>
              <w:right w:w="80" w:type="dxa"/>
            </w:tcMar>
          </w:tcPr>
          <w:p>
            <w:r>
              <w:rPr>
                <w:sz w:val="16"/>
              </w:rPr>
              <w:t>Red Hat MTV (무상)</w:t>
            </w:r>
          </w:p>
        </w:tc>
        <w:tc>
          <w:tcPr>
            <w:tcW w:type="dxa" w:w="1872"/>
            <w:shd w:fill="FFFFFF"/>
            <w:tcMar>
              <w:top w:w="60" w:type="dxa"/>
              <w:bottom w:w="60" w:type="dxa"/>
              <w:left w:w="80" w:type="dxa"/>
              <w:right w:w="80" w:type="dxa"/>
            </w:tcMar>
          </w:tcPr>
          <w:p>
            <w:r>
              <w:rPr>
                <w:sz w:val="16"/>
              </w:rPr>
              <w:t>에이전트리스 백그라운드 복제 후 10분 내 컷오버</w:t>
            </w:r>
          </w:p>
        </w:tc>
      </w:tr>
    </w:tbl>
    <w:p>
      <w:pPr>
        <w:spacing w:before="360" w:after="160"/>
      </w:pPr>
      <w:r>
        <w:rPr>
          <w:b/>
          <w:color w:val="0F172A"/>
          <w:sz w:val="27"/>
        </w:rPr>
        <w:t>4. 국내외 경쟁 가상화 및 클라우드 솔루션 심층 분석 (Competitive Landscape)</w:t>
      </w:r>
    </w:p>
    <w:p>
      <w:pPr>
        <w:spacing w:after="120"/>
      </w:pPr>
      <w:r>
        <w:rPr>
          <w:color w:val="334155"/>
          <w:sz w:val="19"/>
        </w:rPr>
        <w:t>탈VMware 시장에서 Nutanix 및 OpenShift 외에도 글로벌 및 국내 토종 솔루션들이 거론되고 있으나, 각 솔루션마다 기술적 한계와 제약사항이 뚜렷합니다.</w:t>
      </w:r>
    </w:p>
    <w:p>
      <w:pPr>
        <w:spacing w:before="240" w:after="80"/>
      </w:pPr>
      <w:r>
        <w:rPr>
          <w:b/>
          <w:color w:val="0284C7"/>
          <w:sz w:val="22"/>
        </w:rPr>
        <w:t>4.1 글로벌 경쟁 솔루션 분석</w:t>
      </w:r>
    </w:p>
    <w:p>
      <w:pPr>
        <w:spacing w:after="120"/>
      </w:pPr>
      <w:r>
        <w:rPr>
          <w:color w:val="334155"/>
          <w:sz w:val="19"/>
        </w:rPr>
        <w:t>• Microsoft Azure Stack HCI / Azure Local : Hyper-V 기반으로 Azure Portal을 통해 관리되는 하이브리드 솔루션입니다. 기존 Windows 라이선스 혜택(AHB)은 우수하나, Azure 클라우드 계정 종속성이 강해 30일 이상 인터넷 단절 시 인증 문제가 발생(폐쇄망 도입 난항)하며, AWS/GCP 등 멀티클라우드 연동이 불가능합니다.</w:t>
        <w:br/>
        <w:t>• SUSE Harvester / Rancher : KubeVirt 기반의 오픈소스 경량 HCI로 비용이 저렴하나, 스토리지 성숙도가 Nutanix DSF 대비 미흡하며 국내 금융/엔터프라이즈 계정계 대규모 레퍼런스가 부족합니다.</w:t>
        <w:br/>
        <w:t>• Proxmox VE (PVE) / 순수 오픈소스 KVM : 무료 오픈소스 하이퍼바이저로 도입비는 없으나, 24x7 엔터프라이즈 SLA 기술지원 및 상용 백업 에코시스템(Veeam/Commvault 인증)이 부재하여 미션 크리티컬 환경 적용이 불가능합니다.</w:t>
      </w:r>
    </w:p>
    <w:p>
      <w:pPr>
        <w:spacing w:before="240" w:after="80"/>
      </w:pPr>
      <w:r>
        <w:rPr>
          <w:b/>
          <w:color w:val="0284C7"/>
          <w:sz w:val="22"/>
        </w:rPr>
        <w:t>4.2 국내 토종 가상화 솔루션 분석</w:t>
      </w:r>
    </w:p>
    <w:p>
      <w:pPr>
        <w:spacing w:after="120"/>
      </w:pPr>
      <w:r>
        <w:rPr>
          <w:color w:val="334155"/>
          <w:sz w:val="19"/>
        </w:rPr>
        <w:t>• 오케스트로 (Okestro) - 콘트라베이스 (Contrabass) : KVM/OpenStack 기반 국산 플랫폼으로 공공 보안 적합성(CC인증) 및 밀착 지원 강점이 있습니다. 그러나 글로벌 CSP(AWS/Azure)와의 원활한 워크로드 양방향 마이그레이션이 제한적이며, SAP HANA 등 글로벌 ISV 인증 및 에코시스템이 부족합니다.</w:t>
        <w:br/>
        <w:t>• 이노그리드 (Innogrid) - 클라우드잇 (Cloudit) : 공공 클라우드 전환 사업 위주로 공급되며, 대규모 엔터프라이즈 멀티 테넌시 및 고성능 I/O 워크로드 검증이 미흡합니다.</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Mar>
              <w:top w:w="80" w:type="dxa"/>
              <w:bottom w:w="80" w:type="dxa"/>
              <w:left w:w="100" w:type="dxa"/>
              <w:right w:w="100" w:type="dxa"/>
            </w:tcMar>
          </w:tcPr>
          <w:p>
            <w:r>
              <w:rPr>
                <w:b/>
                <w:color w:val="FFFFFF"/>
                <w:sz w:val="16"/>
              </w:rPr>
              <w:t>평가 지표</w:t>
            </w:r>
          </w:p>
        </w:tc>
        <w:tc>
          <w:tcPr>
            <w:tcW w:type="dxa" w:w="1560"/>
            <w:shd w:fill="0F172A"/>
            <w:tcMar>
              <w:top w:w="80" w:type="dxa"/>
              <w:bottom w:w="80" w:type="dxa"/>
              <w:left w:w="100" w:type="dxa"/>
              <w:right w:w="100" w:type="dxa"/>
            </w:tcMar>
          </w:tcPr>
          <w:p>
            <w:r>
              <w:rPr>
                <w:b/>
                <w:color w:val="FFFFFF"/>
                <w:sz w:val="16"/>
              </w:rPr>
              <w:t>Nutanix NCI</w:t>
            </w:r>
          </w:p>
        </w:tc>
        <w:tc>
          <w:tcPr>
            <w:tcW w:type="dxa" w:w="1560"/>
            <w:shd w:fill="0F172A"/>
            <w:tcMar>
              <w:top w:w="80" w:type="dxa"/>
              <w:bottom w:w="80" w:type="dxa"/>
              <w:left w:w="100" w:type="dxa"/>
              <w:right w:w="100" w:type="dxa"/>
            </w:tcMar>
          </w:tcPr>
          <w:p>
            <w:r>
              <w:rPr>
                <w:b/>
                <w:color w:val="FFFFFF"/>
                <w:sz w:val="16"/>
              </w:rPr>
              <w:t>Red Hat OpenShift</w:t>
            </w:r>
          </w:p>
        </w:tc>
        <w:tc>
          <w:tcPr>
            <w:tcW w:type="dxa" w:w="1560"/>
            <w:shd w:fill="0F172A"/>
            <w:tcMar>
              <w:top w:w="80" w:type="dxa"/>
              <w:bottom w:w="80" w:type="dxa"/>
              <w:left w:w="100" w:type="dxa"/>
              <w:right w:w="100" w:type="dxa"/>
            </w:tcMar>
          </w:tcPr>
          <w:p>
            <w:r>
              <w:rPr>
                <w:b/>
                <w:color w:val="FFFFFF"/>
                <w:sz w:val="16"/>
              </w:rPr>
              <w:t>MS Azure Local</w:t>
            </w:r>
          </w:p>
        </w:tc>
        <w:tc>
          <w:tcPr>
            <w:tcW w:type="dxa" w:w="1560"/>
            <w:shd w:fill="0F172A"/>
            <w:tcMar>
              <w:top w:w="80" w:type="dxa"/>
              <w:bottom w:w="80" w:type="dxa"/>
              <w:left w:w="100" w:type="dxa"/>
              <w:right w:w="100" w:type="dxa"/>
            </w:tcMar>
          </w:tcPr>
          <w:p>
            <w:r>
              <w:rPr>
                <w:b/>
                <w:color w:val="FFFFFF"/>
                <w:sz w:val="16"/>
              </w:rPr>
              <w:t>오케스트로 Contrabass</w:t>
            </w:r>
          </w:p>
        </w:tc>
        <w:tc>
          <w:tcPr>
            <w:tcW w:type="dxa" w:w="1560"/>
            <w:shd w:fill="0F172A"/>
            <w:tcMar>
              <w:top w:w="80" w:type="dxa"/>
              <w:bottom w:w="80" w:type="dxa"/>
              <w:left w:w="100" w:type="dxa"/>
              <w:right w:w="100" w:type="dxa"/>
            </w:tcMar>
          </w:tcPr>
          <w:p>
            <w:r>
              <w:rPr>
                <w:b/>
                <w:color w:val="FFFFFF"/>
                <w:sz w:val="16"/>
              </w:rPr>
              <w:t>Proxmox VE (OSS)</w:t>
            </w:r>
          </w:p>
        </w:tc>
      </w:tr>
      <w:tr>
        <w:tc>
          <w:tcPr>
            <w:tcW w:type="dxa" w:w="1560"/>
            <w:shd w:fill="F8FAFC"/>
            <w:tcMar>
              <w:top w:w="60" w:type="dxa"/>
              <w:bottom w:w="60" w:type="dxa"/>
              <w:left w:w="80" w:type="dxa"/>
              <w:right w:w="80" w:type="dxa"/>
            </w:tcMar>
          </w:tcPr>
          <w:p>
            <w:r>
              <w:rPr>
                <w:sz w:val="15"/>
              </w:rPr>
              <w:t>스토리지 아키텍처</w:t>
            </w:r>
          </w:p>
        </w:tc>
        <w:tc>
          <w:tcPr>
            <w:tcW w:type="dxa" w:w="1560"/>
            <w:shd w:fill="F8FAFC"/>
            <w:tcMar>
              <w:top w:w="60" w:type="dxa"/>
              <w:bottom w:w="60" w:type="dxa"/>
              <w:left w:w="80" w:type="dxa"/>
              <w:right w:w="80" w:type="dxa"/>
            </w:tcMar>
          </w:tcPr>
          <w:p>
            <w:r>
              <w:rPr>
                <w:sz w:val="15"/>
              </w:rPr>
              <w:t>DSF (업계 1위 분산 HCI)</w:t>
            </w:r>
          </w:p>
        </w:tc>
        <w:tc>
          <w:tcPr>
            <w:tcW w:type="dxa" w:w="1560"/>
            <w:shd w:fill="F8FAFC"/>
            <w:tcMar>
              <w:top w:w="60" w:type="dxa"/>
              <w:bottom w:w="60" w:type="dxa"/>
              <w:left w:w="80" w:type="dxa"/>
              <w:right w:w="80" w:type="dxa"/>
            </w:tcMar>
          </w:tcPr>
          <w:p>
            <w:r>
              <w:rPr>
                <w:sz w:val="15"/>
              </w:rPr>
              <w:t>ODF (Ceph 기반)</w:t>
            </w:r>
          </w:p>
        </w:tc>
        <w:tc>
          <w:tcPr>
            <w:tcW w:type="dxa" w:w="1560"/>
            <w:shd w:fill="F8FAFC"/>
            <w:tcMar>
              <w:top w:w="60" w:type="dxa"/>
              <w:bottom w:w="60" w:type="dxa"/>
              <w:left w:w="80" w:type="dxa"/>
              <w:right w:w="80" w:type="dxa"/>
            </w:tcMar>
          </w:tcPr>
          <w:p>
            <w:r>
              <w:rPr>
                <w:sz w:val="15"/>
              </w:rPr>
              <w:t>Storage Spaces Direct</w:t>
            </w:r>
          </w:p>
        </w:tc>
        <w:tc>
          <w:tcPr>
            <w:tcW w:type="dxa" w:w="1560"/>
            <w:shd w:fill="F8FAFC"/>
            <w:tcMar>
              <w:top w:w="60" w:type="dxa"/>
              <w:bottom w:w="60" w:type="dxa"/>
              <w:left w:w="80" w:type="dxa"/>
              <w:right w:w="80" w:type="dxa"/>
            </w:tcMar>
          </w:tcPr>
          <w:p>
            <w:r>
              <w:rPr>
                <w:sz w:val="15"/>
              </w:rPr>
              <w:t>Ceph / 외장 SAN</w:t>
            </w:r>
          </w:p>
        </w:tc>
        <w:tc>
          <w:tcPr>
            <w:tcW w:type="dxa" w:w="1560"/>
            <w:shd w:fill="F8FAFC"/>
            <w:tcMar>
              <w:top w:w="60" w:type="dxa"/>
              <w:bottom w:w="60" w:type="dxa"/>
              <w:left w:w="80" w:type="dxa"/>
              <w:right w:w="80" w:type="dxa"/>
            </w:tcMar>
          </w:tcPr>
          <w:p>
            <w:r>
              <w:rPr>
                <w:sz w:val="15"/>
              </w:rPr>
              <w:t>Ceph / ZFS</w:t>
            </w:r>
          </w:p>
        </w:tc>
      </w:tr>
      <w:tr>
        <w:tc>
          <w:tcPr>
            <w:tcW w:type="dxa" w:w="1560"/>
            <w:shd w:fill="FFFFFF"/>
            <w:tcMar>
              <w:top w:w="60" w:type="dxa"/>
              <w:bottom w:w="60" w:type="dxa"/>
              <w:left w:w="80" w:type="dxa"/>
              <w:right w:w="80" w:type="dxa"/>
            </w:tcMar>
          </w:tcPr>
          <w:p>
            <w:r>
              <w:rPr>
                <w:sz w:val="15"/>
              </w:rPr>
              <w:t>AWS 멀티클라우드</w:t>
            </w:r>
          </w:p>
        </w:tc>
        <w:tc>
          <w:tcPr>
            <w:tcW w:type="dxa" w:w="1560"/>
            <w:shd w:fill="FFFFFF"/>
            <w:tcMar>
              <w:top w:w="60" w:type="dxa"/>
              <w:bottom w:w="60" w:type="dxa"/>
              <w:left w:w="80" w:type="dxa"/>
              <w:right w:w="80" w:type="dxa"/>
            </w:tcMar>
          </w:tcPr>
          <w:p>
            <w:r>
              <w:rPr>
                <w:sz w:val="15"/>
              </w:rPr>
              <w:t>★★★★★ (NC2 on AWS)</w:t>
            </w:r>
          </w:p>
        </w:tc>
        <w:tc>
          <w:tcPr>
            <w:tcW w:type="dxa" w:w="1560"/>
            <w:shd w:fill="FFFFFF"/>
            <w:tcMar>
              <w:top w:w="60" w:type="dxa"/>
              <w:bottom w:w="60" w:type="dxa"/>
              <w:left w:w="80" w:type="dxa"/>
              <w:right w:w="80" w:type="dxa"/>
            </w:tcMar>
          </w:tcPr>
          <w:p>
            <w:r>
              <w:rPr>
                <w:sz w:val="15"/>
              </w:rPr>
              <w:t>★★★★★ (ROSA)</w:t>
            </w:r>
          </w:p>
        </w:tc>
        <w:tc>
          <w:tcPr>
            <w:tcW w:type="dxa" w:w="1560"/>
            <w:shd w:fill="FFFFFF"/>
            <w:tcMar>
              <w:top w:w="60" w:type="dxa"/>
              <w:bottom w:w="60" w:type="dxa"/>
              <w:left w:w="80" w:type="dxa"/>
              <w:right w:w="80" w:type="dxa"/>
            </w:tcMar>
          </w:tcPr>
          <w:p>
            <w:r>
              <w:rPr>
                <w:sz w:val="15"/>
              </w:rPr>
              <w:t>❌ (지원 불가)</w:t>
            </w:r>
          </w:p>
        </w:tc>
        <w:tc>
          <w:tcPr>
            <w:tcW w:type="dxa" w:w="1560"/>
            <w:shd w:fill="FFFFFF"/>
            <w:tcMar>
              <w:top w:w="60" w:type="dxa"/>
              <w:bottom w:w="60" w:type="dxa"/>
              <w:left w:w="80" w:type="dxa"/>
              <w:right w:w="80" w:type="dxa"/>
            </w:tcMar>
          </w:tcPr>
          <w:p>
            <w:r>
              <w:rPr>
                <w:sz w:val="15"/>
              </w:rPr>
              <w:t>△ (제한적)</w:t>
            </w:r>
          </w:p>
        </w:tc>
        <w:tc>
          <w:tcPr>
            <w:tcW w:type="dxa" w:w="1560"/>
            <w:shd w:fill="FFFFFF"/>
            <w:tcMar>
              <w:top w:w="60" w:type="dxa"/>
              <w:bottom w:w="60" w:type="dxa"/>
              <w:left w:w="80" w:type="dxa"/>
              <w:right w:w="80" w:type="dxa"/>
            </w:tcMar>
          </w:tcPr>
          <w:p>
            <w:r>
              <w:rPr>
                <w:sz w:val="15"/>
              </w:rPr>
              <w:t>❌ (수동 재구성)</w:t>
            </w:r>
          </w:p>
        </w:tc>
      </w:tr>
      <w:tr>
        <w:tc>
          <w:tcPr>
            <w:tcW w:type="dxa" w:w="1560"/>
            <w:shd w:fill="F8FAFC"/>
            <w:tcMar>
              <w:top w:w="60" w:type="dxa"/>
              <w:bottom w:w="60" w:type="dxa"/>
              <w:left w:w="80" w:type="dxa"/>
              <w:right w:w="80" w:type="dxa"/>
            </w:tcMar>
          </w:tcPr>
          <w:p>
            <w:r>
              <w:rPr>
                <w:sz w:val="15"/>
              </w:rPr>
              <w:t>무중단 마이그레이션</w:t>
            </w:r>
          </w:p>
        </w:tc>
        <w:tc>
          <w:tcPr>
            <w:tcW w:type="dxa" w:w="1560"/>
            <w:shd w:fill="F8FAFC"/>
            <w:tcMar>
              <w:top w:w="60" w:type="dxa"/>
              <w:bottom w:w="60" w:type="dxa"/>
              <w:left w:w="80" w:type="dxa"/>
              <w:right w:w="80" w:type="dxa"/>
            </w:tcMar>
          </w:tcPr>
          <w:p>
            <w:r>
              <w:rPr>
                <w:sz w:val="15"/>
              </w:rPr>
              <w:t>Nutanix Move (무상/최상)</w:t>
            </w:r>
          </w:p>
        </w:tc>
        <w:tc>
          <w:tcPr>
            <w:tcW w:type="dxa" w:w="1560"/>
            <w:shd w:fill="F8FAFC"/>
            <w:tcMar>
              <w:top w:w="60" w:type="dxa"/>
              <w:bottom w:w="60" w:type="dxa"/>
              <w:left w:w="80" w:type="dxa"/>
              <w:right w:w="80" w:type="dxa"/>
            </w:tcMar>
          </w:tcPr>
          <w:p>
            <w:r>
              <w:rPr>
                <w:sz w:val="15"/>
              </w:rPr>
              <w:t>Red Hat MTV (무상)</w:t>
            </w:r>
          </w:p>
        </w:tc>
        <w:tc>
          <w:tcPr>
            <w:tcW w:type="dxa" w:w="1560"/>
            <w:shd w:fill="F8FAFC"/>
            <w:tcMar>
              <w:top w:w="60" w:type="dxa"/>
              <w:bottom w:w="60" w:type="dxa"/>
              <w:left w:w="80" w:type="dxa"/>
              <w:right w:w="80" w:type="dxa"/>
            </w:tcMar>
          </w:tcPr>
          <w:p>
            <w:r>
              <w:rPr>
                <w:sz w:val="15"/>
              </w:rPr>
              <w:t>Azure Migrate (보통)</w:t>
            </w:r>
          </w:p>
        </w:tc>
        <w:tc>
          <w:tcPr>
            <w:tcW w:type="dxa" w:w="1560"/>
            <w:shd w:fill="F8FAFC"/>
            <w:tcMar>
              <w:top w:w="60" w:type="dxa"/>
              <w:bottom w:w="60" w:type="dxa"/>
              <w:left w:w="80" w:type="dxa"/>
              <w:right w:w="80" w:type="dxa"/>
            </w:tcMar>
          </w:tcPr>
          <w:p>
            <w:r>
              <w:rPr>
                <w:sz w:val="15"/>
              </w:rPr>
              <w:t>스크립트 수동 작업</w:t>
            </w:r>
          </w:p>
        </w:tc>
        <w:tc>
          <w:tcPr>
            <w:tcW w:type="dxa" w:w="1560"/>
            <w:shd w:fill="F8FAFC"/>
            <w:tcMar>
              <w:top w:w="60" w:type="dxa"/>
              <w:bottom w:w="60" w:type="dxa"/>
              <w:left w:w="80" w:type="dxa"/>
              <w:right w:w="80" w:type="dxa"/>
            </w:tcMar>
          </w:tcPr>
          <w:p>
            <w:r>
              <w:rPr>
                <w:sz w:val="15"/>
              </w:rPr>
              <w:t>수동 변환 도구</w:t>
            </w:r>
          </w:p>
        </w:tc>
      </w:tr>
      <w:tr>
        <w:tc>
          <w:tcPr>
            <w:tcW w:type="dxa" w:w="1560"/>
            <w:shd w:fill="FFFFFF"/>
            <w:tcMar>
              <w:top w:w="60" w:type="dxa"/>
              <w:bottom w:w="60" w:type="dxa"/>
              <w:left w:w="80" w:type="dxa"/>
              <w:right w:w="80" w:type="dxa"/>
            </w:tcMar>
          </w:tcPr>
          <w:p>
            <w:r>
              <w:rPr>
                <w:sz w:val="15"/>
              </w:rPr>
              <w:t>엔터프라이즈 AI 스택</w:t>
            </w:r>
          </w:p>
        </w:tc>
        <w:tc>
          <w:tcPr>
            <w:tcW w:type="dxa" w:w="1560"/>
            <w:shd w:fill="FFFFFF"/>
            <w:tcMar>
              <w:top w:w="60" w:type="dxa"/>
              <w:bottom w:w="60" w:type="dxa"/>
              <w:left w:w="80" w:type="dxa"/>
              <w:right w:w="80" w:type="dxa"/>
            </w:tcMar>
          </w:tcPr>
          <w:p>
            <w:r>
              <w:rPr>
                <w:sz w:val="15"/>
              </w:rPr>
              <w:t>NAI / GPT-in-a-Box</w:t>
            </w:r>
          </w:p>
        </w:tc>
        <w:tc>
          <w:tcPr>
            <w:tcW w:type="dxa" w:w="1560"/>
            <w:shd w:fill="FFFFFF"/>
            <w:tcMar>
              <w:top w:w="60" w:type="dxa"/>
              <w:bottom w:w="60" w:type="dxa"/>
              <w:left w:w="80" w:type="dxa"/>
              <w:right w:w="80" w:type="dxa"/>
            </w:tcMar>
          </w:tcPr>
          <w:p>
            <w:r>
              <w:rPr>
                <w:sz w:val="15"/>
              </w:rPr>
              <w:t>OpenShift AI (RHOAI)</w:t>
            </w:r>
          </w:p>
        </w:tc>
        <w:tc>
          <w:tcPr>
            <w:tcW w:type="dxa" w:w="1560"/>
            <w:shd w:fill="FFFFFF"/>
            <w:tcMar>
              <w:top w:w="60" w:type="dxa"/>
              <w:bottom w:w="60" w:type="dxa"/>
              <w:left w:w="80" w:type="dxa"/>
              <w:right w:w="80" w:type="dxa"/>
            </w:tcMar>
          </w:tcPr>
          <w:p>
            <w:r>
              <w:rPr>
                <w:sz w:val="15"/>
              </w:rPr>
              <w:t>Azure AI Edge</w:t>
            </w:r>
          </w:p>
        </w:tc>
        <w:tc>
          <w:tcPr>
            <w:tcW w:type="dxa" w:w="1560"/>
            <w:shd w:fill="FFFFFF"/>
            <w:tcMar>
              <w:top w:w="60" w:type="dxa"/>
              <w:bottom w:w="60" w:type="dxa"/>
              <w:left w:w="80" w:type="dxa"/>
              <w:right w:w="80" w:type="dxa"/>
            </w:tcMar>
          </w:tcPr>
          <w:p>
            <w:r>
              <w:rPr>
                <w:sz w:val="15"/>
              </w:rPr>
              <w:t>미흡 (별도 구축)</w:t>
            </w:r>
          </w:p>
        </w:tc>
        <w:tc>
          <w:tcPr>
            <w:tcW w:type="dxa" w:w="1560"/>
            <w:shd w:fill="FFFFFF"/>
            <w:tcMar>
              <w:top w:w="60" w:type="dxa"/>
              <w:bottom w:w="60" w:type="dxa"/>
              <w:left w:w="80" w:type="dxa"/>
              <w:right w:w="80" w:type="dxa"/>
            </w:tcMar>
          </w:tcPr>
          <w:p>
            <w:r>
              <w:rPr>
                <w:sz w:val="15"/>
              </w:rPr>
              <w:t>없음</w:t>
            </w:r>
          </w:p>
        </w:tc>
      </w:tr>
      <w:tr>
        <w:tc>
          <w:tcPr>
            <w:tcW w:type="dxa" w:w="1560"/>
            <w:shd w:fill="F8FAFC"/>
            <w:tcMar>
              <w:top w:w="60" w:type="dxa"/>
              <w:bottom w:w="60" w:type="dxa"/>
              <w:left w:w="80" w:type="dxa"/>
              <w:right w:w="80" w:type="dxa"/>
            </w:tcMar>
          </w:tcPr>
          <w:p>
            <w:r>
              <w:rPr>
                <w:sz w:val="15"/>
              </w:rPr>
              <w:t>국내 기술지원 체계</w:t>
            </w:r>
          </w:p>
        </w:tc>
        <w:tc>
          <w:tcPr>
            <w:tcW w:type="dxa" w:w="1560"/>
            <w:shd w:fill="F8FAFC"/>
            <w:tcMar>
              <w:top w:w="60" w:type="dxa"/>
              <w:bottom w:w="60" w:type="dxa"/>
              <w:left w:w="80" w:type="dxa"/>
              <w:right w:w="80" w:type="dxa"/>
            </w:tcMar>
          </w:tcPr>
          <w:p>
            <w:r>
              <w:rPr>
                <w:sz w:val="15"/>
              </w:rPr>
              <w:t>MZC 전담 24x7 지원</w:t>
            </w:r>
          </w:p>
        </w:tc>
        <w:tc>
          <w:tcPr>
            <w:tcW w:type="dxa" w:w="1560"/>
            <w:shd w:fill="F8FAFC"/>
            <w:tcMar>
              <w:top w:w="60" w:type="dxa"/>
              <w:bottom w:w="60" w:type="dxa"/>
              <w:left w:w="80" w:type="dxa"/>
              <w:right w:w="80" w:type="dxa"/>
            </w:tcMar>
          </w:tcPr>
          <w:p>
            <w:r>
              <w:rPr>
                <w:sz w:val="15"/>
              </w:rPr>
              <w:t>MZC 전담 24x7 지원</w:t>
            </w:r>
          </w:p>
        </w:tc>
        <w:tc>
          <w:tcPr>
            <w:tcW w:type="dxa" w:w="1560"/>
            <w:shd w:fill="F8FAFC"/>
            <w:tcMar>
              <w:top w:w="60" w:type="dxa"/>
              <w:bottom w:w="60" w:type="dxa"/>
              <w:left w:w="80" w:type="dxa"/>
              <w:right w:w="80" w:type="dxa"/>
            </w:tcMar>
          </w:tcPr>
          <w:p>
            <w:r>
              <w:rPr>
                <w:sz w:val="15"/>
              </w:rPr>
              <w:t>MS 파트너사 지원</w:t>
            </w:r>
          </w:p>
        </w:tc>
        <w:tc>
          <w:tcPr>
            <w:tcW w:type="dxa" w:w="1560"/>
            <w:shd w:fill="F8FAFC"/>
            <w:tcMar>
              <w:top w:w="60" w:type="dxa"/>
              <w:bottom w:w="60" w:type="dxa"/>
              <w:left w:w="80" w:type="dxa"/>
              <w:right w:w="80" w:type="dxa"/>
            </w:tcMar>
          </w:tcPr>
          <w:p>
            <w:r>
              <w:rPr>
                <w:sz w:val="15"/>
              </w:rPr>
              <w:t>오케스트로 직지원</w:t>
            </w:r>
          </w:p>
        </w:tc>
        <w:tc>
          <w:tcPr>
            <w:tcW w:type="dxa" w:w="1560"/>
            <w:shd w:fill="F8FAFC"/>
            <w:tcMar>
              <w:top w:w="60" w:type="dxa"/>
              <w:bottom w:w="60" w:type="dxa"/>
              <w:left w:w="80" w:type="dxa"/>
              <w:right w:w="80" w:type="dxa"/>
            </w:tcMar>
          </w:tcPr>
          <w:p>
            <w:r>
              <w:rPr>
                <w:sz w:val="15"/>
              </w:rPr>
              <w:t>커뮤니티 의존</w:t>
            </w:r>
          </w:p>
        </w:tc>
      </w:tr>
      <w:tr>
        <w:tc>
          <w:tcPr>
            <w:tcW w:type="dxa" w:w="1560"/>
            <w:shd w:fill="FFFFFF"/>
            <w:tcMar>
              <w:top w:w="60" w:type="dxa"/>
              <w:bottom w:w="60" w:type="dxa"/>
              <w:left w:w="80" w:type="dxa"/>
              <w:right w:w="80" w:type="dxa"/>
            </w:tcMar>
          </w:tcPr>
          <w:p>
            <w:r>
              <w:rPr>
                <w:sz w:val="15"/>
              </w:rPr>
              <w:t>엔터프라이즈 검증</w:t>
            </w:r>
          </w:p>
        </w:tc>
        <w:tc>
          <w:tcPr>
            <w:tcW w:type="dxa" w:w="1560"/>
            <w:shd w:fill="FFFFFF"/>
            <w:tcMar>
              <w:top w:w="60" w:type="dxa"/>
              <w:bottom w:w="60" w:type="dxa"/>
              <w:left w:w="80" w:type="dxa"/>
              <w:right w:w="80" w:type="dxa"/>
            </w:tcMar>
          </w:tcPr>
          <w:p>
            <w:r>
              <w:rPr>
                <w:sz w:val="15"/>
              </w:rPr>
              <w:t>국내외 수천 개사 검증</w:t>
            </w:r>
          </w:p>
        </w:tc>
        <w:tc>
          <w:tcPr>
            <w:tcW w:type="dxa" w:w="1560"/>
            <w:shd w:fill="FFFFFF"/>
            <w:tcMar>
              <w:top w:w="60" w:type="dxa"/>
              <w:bottom w:w="60" w:type="dxa"/>
              <w:left w:w="80" w:type="dxa"/>
              <w:right w:w="80" w:type="dxa"/>
            </w:tcMar>
          </w:tcPr>
          <w:p>
            <w:r>
              <w:rPr>
                <w:sz w:val="15"/>
              </w:rPr>
              <w:t>글로벌 표준 K8s</w:t>
            </w:r>
          </w:p>
        </w:tc>
        <w:tc>
          <w:tcPr>
            <w:tcW w:type="dxa" w:w="1560"/>
            <w:shd w:fill="FFFFFF"/>
            <w:tcMar>
              <w:top w:w="60" w:type="dxa"/>
              <w:bottom w:w="60" w:type="dxa"/>
              <w:left w:w="80" w:type="dxa"/>
              <w:right w:w="80" w:type="dxa"/>
            </w:tcMar>
          </w:tcPr>
          <w:p>
            <w:r>
              <w:rPr>
                <w:sz w:val="15"/>
              </w:rPr>
              <w:t>대기업 일부 도입</w:t>
            </w:r>
          </w:p>
        </w:tc>
        <w:tc>
          <w:tcPr>
            <w:tcW w:type="dxa" w:w="1560"/>
            <w:shd w:fill="FFFFFF"/>
            <w:tcMar>
              <w:top w:w="60" w:type="dxa"/>
              <w:bottom w:w="60" w:type="dxa"/>
              <w:left w:w="80" w:type="dxa"/>
              <w:right w:w="80" w:type="dxa"/>
            </w:tcMar>
          </w:tcPr>
          <w:p>
            <w:r>
              <w:rPr>
                <w:sz w:val="15"/>
              </w:rPr>
              <w:t>국내 공공/금융 위주</w:t>
            </w:r>
          </w:p>
        </w:tc>
        <w:tc>
          <w:tcPr>
            <w:tcW w:type="dxa" w:w="1560"/>
            <w:shd w:fill="FFFFFF"/>
            <w:tcMar>
              <w:top w:w="60" w:type="dxa"/>
              <w:bottom w:w="60" w:type="dxa"/>
              <w:left w:w="80" w:type="dxa"/>
              <w:right w:w="80" w:type="dxa"/>
            </w:tcMar>
          </w:tcPr>
          <w:p>
            <w:r>
              <w:rPr>
                <w:sz w:val="15"/>
              </w:rPr>
              <w:t>소규모/연구소 위주</w:t>
            </w:r>
          </w:p>
        </w:tc>
      </w:tr>
    </w:tbl>
    <w:p>
      <w:pPr>
        <w:spacing w:before="360" w:after="160"/>
      </w:pPr>
      <w:r>
        <w:rPr>
          <w:b/>
          <w:color w:val="0F172A"/>
          <w:sz w:val="27"/>
        </w:rPr>
        <w:t>5. 산업별 공략 및 재무적 TCO 절감 모델</w:t>
      </w:r>
    </w:p>
    <w:p>
      <w:pPr>
        <w:spacing w:after="120"/>
      </w:pPr>
      <w:r>
        <w:rPr>
          <w:color w:val="334155"/>
          <w:sz w:val="19"/>
        </w:rPr>
        <w:t>• 제조 : SAP PCE CDC(Customer Data Center) 프라이빗 클라우드 구성으로 데이터 주권 보호 (HD한국조선해양 사례: 연 30% 절감)</w:t>
        <w:br/>
        <w:t>• 금융 : 계정계 온프레미스 AHV + 정보계 NC2 on AWS 하이브리드 연동 및 Data Lens 거버넌스 (BNK금융그룹 사례: 90% 업무시스템 운영)</w:t>
        <w:br/>
        <w:t>• 공공 : 단년도 예산 분산 구독형 도입 및 폐쇄망(Air-Gap) 소버린 AI 턴키 구현</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b/>
                <w:color w:val="FFFFFF"/>
                <w:sz w:val="17"/>
              </w:rPr>
              <w:t>비용 분석 항목 (100 Core / 3개년)</w:t>
            </w:r>
          </w:p>
        </w:tc>
        <w:tc>
          <w:tcPr>
            <w:tcW w:type="dxa" w:w="2340"/>
            <w:shd w:fill="0F172A"/>
            <w:tcMar>
              <w:top w:w="80" w:type="dxa"/>
              <w:bottom w:w="80" w:type="dxa"/>
              <w:left w:w="100" w:type="dxa"/>
              <w:right w:w="100" w:type="dxa"/>
            </w:tcMar>
          </w:tcPr>
          <w:p>
            <w:r>
              <w:rPr>
                <w:b/>
                <w:color w:val="FFFFFF"/>
                <w:sz w:val="17"/>
              </w:rPr>
              <w:t>VMware VCF 유지 시</w:t>
            </w:r>
          </w:p>
        </w:tc>
        <w:tc>
          <w:tcPr>
            <w:tcW w:type="dxa" w:w="2340"/>
            <w:shd w:fill="0F172A"/>
            <w:tcMar>
              <w:top w:w="80" w:type="dxa"/>
              <w:bottom w:w="80" w:type="dxa"/>
              <w:left w:w="100" w:type="dxa"/>
              <w:right w:w="100" w:type="dxa"/>
            </w:tcMar>
          </w:tcPr>
          <w:p>
            <w:r>
              <w:rPr>
                <w:b/>
                <w:color w:val="FFFFFF"/>
                <w:sz w:val="17"/>
              </w:rPr>
              <w:t>Nutanix NCI 전환 시</w:t>
            </w:r>
          </w:p>
        </w:tc>
        <w:tc>
          <w:tcPr>
            <w:tcW w:type="dxa" w:w="2340"/>
            <w:shd w:fill="0F172A"/>
            <w:tcMar>
              <w:top w:w="80" w:type="dxa"/>
              <w:bottom w:w="80" w:type="dxa"/>
              <w:left w:w="100" w:type="dxa"/>
              <w:right w:w="100" w:type="dxa"/>
            </w:tcMar>
          </w:tcPr>
          <w:p>
            <w:r>
              <w:rPr>
                <w:b/>
                <w:color w:val="FFFFFF"/>
                <w:sz w:val="17"/>
              </w:rPr>
              <w:t>비용 절감 효과</w:t>
            </w:r>
          </w:p>
        </w:tc>
      </w:tr>
      <w:tr>
        <w:tc>
          <w:tcPr>
            <w:tcW w:type="dxa" w:w="2340"/>
            <w:shd w:fill="F8FAFC"/>
            <w:tcMar>
              <w:top w:w="60" w:type="dxa"/>
              <w:bottom w:w="60" w:type="dxa"/>
              <w:left w:w="80" w:type="dxa"/>
              <w:right w:w="80" w:type="dxa"/>
            </w:tcMar>
          </w:tcPr>
          <w:p>
            <w:r>
              <w:rPr>
                <w:sz w:val="17"/>
              </w:rPr>
              <w:t>S/W 라이선스 및 구독료</w:t>
            </w:r>
          </w:p>
        </w:tc>
        <w:tc>
          <w:tcPr>
            <w:tcW w:type="dxa" w:w="2340"/>
            <w:shd w:fill="F8FAFC"/>
            <w:tcMar>
              <w:top w:w="60" w:type="dxa"/>
              <w:bottom w:w="60" w:type="dxa"/>
              <w:left w:w="80" w:type="dxa"/>
              <w:right w:w="80" w:type="dxa"/>
            </w:tcMar>
          </w:tcPr>
          <w:p>
            <w:r>
              <w:rPr>
                <w:sz w:val="17"/>
              </w:rPr>
              <w:t>$204,000 (~2.75억 원)</w:t>
            </w:r>
          </w:p>
        </w:tc>
        <w:tc>
          <w:tcPr>
            <w:tcW w:type="dxa" w:w="2340"/>
            <w:shd w:fill="F8FAFC"/>
            <w:tcMar>
              <w:top w:w="60" w:type="dxa"/>
              <w:bottom w:w="60" w:type="dxa"/>
              <w:left w:w="80" w:type="dxa"/>
              <w:right w:w="80" w:type="dxa"/>
            </w:tcMar>
          </w:tcPr>
          <w:p>
            <w:r>
              <w:rPr>
                <w:sz w:val="17"/>
              </w:rPr>
              <w:t>$75,000 (~1.01억 원)</w:t>
            </w:r>
          </w:p>
        </w:tc>
        <w:tc>
          <w:tcPr>
            <w:tcW w:type="dxa" w:w="2340"/>
            <w:shd w:fill="F8FAFC"/>
            <w:tcMar>
              <w:top w:w="60" w:type="dxa"/>
              <w:bottom w:w="60" w:type="dxa"/>
              <w:left w:w="80" w:type="dxa"/>
              <w:right w:w="80" w:type="dxa"/>
            </w:tcMar>
          </w:tcPr>
          <w:p>
            <w:r>
              <w:rPr>
                <w:sz w:val="17"/>
              </w:rPr>
              <w:t>63.2% 절감 ($129,000 절감)</w:t>
            </w:r>
          </w:p>
        </w:tc>
      </w:tr>
      <w:tr>
        <w:tc>
          <w:tcPr>
            <w:tcW w:type="dxa" w:w="2340"/>
            <w:shd w:fill="FFFFFF"/>
            <w:tcMar>
              <w:top w:w="60" w:type="dxa"/>
              <w:bottom w:w="60" w:type="dxa"/>
              <w:left w:w="80" w:type="dxa"/>
              <w:right w:w="80" w:type="dxa"/>
            </w:tcMar>
          </w:tcPr>
          <w:p>
            <w:r>
              <w:rPr>
                <w:sz w:val="17"/>
              </w:rPr>
              <w:t>하드웨어 유지보수 비용</w:t>
            </w:r>
          </w:p>
        </w:tc>
        <w:tc>
          <w:tcPr>
            <w:tcW w:type="dxa" w:w="2340"/>
            <w:shd w:fill="FFFFFF"/>
            <w:tcMar>
              <w:top w:w="60" w:type="dxa"/>
              <w:bottom w:w="60" w:type="dxa"/>
              <w:left w:w="80" w:type="dxa"/>
              <w:right w:w="80" w:type="dxa"/>
            </w:tcMar>
          </w:tcPr>
          <w:p>
            <w:r>
              <w:rPr>
                <w:sz w:val="17"/>
              </w:rPr>
              <w:t>$45,000</w:t>
            </w:r>
          </w:p>
        </w:tc>
        <w:tc>
          <w:tcPr>
            <w:tcW w:type="dxa" w:w="2340"/>
            <w:shd w:fill="FFFFFF"/>
            <w:tcMar>
              <w:top w:w="60" w:type="dxa"/>
              <w:bottom w:w="60" w:type="dxa"/>
              <w:left w:w="80" w:type="dxa"/>
              <w:right w:w="80" w:type="dxa"/>
            </w:tcMar>
          </w:tcPr>
          <w:p>
            <w:r>
              <w:rPr>
                <w:sz w:val="17"/>
              </w:rPr>
              <w:t>$45,000</w:t>
            </w:r>
          </w:p>
        </w:tc>
        <w:tc>
          <w:tcPr>
            <w:tcW w:type="dxa" w:w="2340"/>
            <w:shd w:fill="FFFFFF"/>
            <w:tcMar>
              <w:top w:w="60" w:type="dxa"/>
              <w:bottom w:w="60" w:type="dxa"/>
              <w:left w:w="80" w:type="dxa"/>
              <w:right w:w="80" w:type="dxa"/>
            </w:tcMar>
          </w:tcPr>
          <w:p>
            <w:r>
              <w:rPr>
                <w:sz w:val="17"/>
              </w:rPr>
              <w:t>동일 (기존 서버 재활용)</w:t>
            </w:r>
          </w:p>
        </w:tc>
      </w:tr>
      <w:tr>
        <w:tc>
          <w:tcPr>
            <w:tcW w:type="dxa" w:w="2340"/>
            <w:shd w:fill="F8FAFC"/>
            <w:tcMar>
              <w:top w:w="60" w:type="dxa"/>
              <w:bottom w:w="60" w:type="dxa"/>
              <w:left w:w="80" w:type="dxa"/>
              <w:right w:w="80" w:type="dxa"/>
            </w:tcMar>
          </w:tcPr>
          <w:p>
            <w:r>
              <w:rPr>
                <w:sz w:val="17"/>
              </w:rPr>
              <w:t>마이그레이션 구축 비용 (1회)</w:t>
            </w:r>
          </w:p>
        </w:tc>
        <w:tc>
          <w:tcPr>
            <w:tcW w:type="dxa" w:w="2340"/>
            <w:shd w:fill="F8FAFC"/>
            <w:tcMar>
              <w:top w:w="60" w:type="dxa"/>
              <w:bottom w:w="60" w:type="dxa"/>
              <w:left w:w="80" w:type="dxa"/>
              <w:right w:w="80" w:type="dxa"/>
            </w:tcMar>
          </w:tcPr>
          <w:p>
            <w:r>
              <w:rPr>
                <w:sz w:val="17"/>
              </w:rPr>
              <w:t>$0</w:t>
            </w:r>
          </w:p>
        </w:tc>
        <w:tc>
          <w:tcPr>
            <w:tcW w:type="dxa" w:w="2340"/>
            <w:shd w:fill="F8FAFC"/>
            <w:tcMar>
              <w:top w:w="60" w:type="dxa"/>
              <w:bottom w:w="60" w:type="dxa"/>
              <w:left w:w="80" w:type="dxa"/>
              <w:right w:w="80" w:type="dxa"/>
            </w:tcMar>
          </w:tcPr>
          <w:p>
            <w:r>
              <w:rPr>
                <w:sz w:val="17"/>
              </w:rPr>
              <w:t>$30,000 (펀딩 시 $0)</w:t>
            </w:r>
          </w:p>
        </w:tc>
        <w:tc>
          <w:tcPr>
            <w:tcW w:type="dxa" w:w="2340"/>
            <w:shd w:fill="F8FAFC"/>
            <w:tcMar>
              <w:top w:w="60" w:type="dxa"/>
              <w:bottom w:w="60" w:type="dxa"/>
              <w:left w:w="80" w:type="dxa"/>
              <w:right w:w="80" w:type="dxa"/>
            </w:tcMar>
          </w:tcPr>
          <w:p>
            <w:r>
              <w:rPr>
                <w:sz w:val="17"/>
              </w:rPr>
              <w:t>글로벌 파트너 펀딩 전액 감면</w:t>
            </w:r>
          </w:p>
        </w:tc>
      </w:tr>
      <w:tr>
        <w:tc>
          <w:tcPr>
            <w:tcW w:type="dxa" w:w="2340"/>
            <w:shd w:fill="FFFFFF"/>
            <w:tcMar>
              <w:top w:w="60" w:type="dxa"/>
              <w:bottom w:w="60" w:type="dxa"/>
              <w:left w:w="80" w:type="dxa"/>
              <w:right w:w="80" w:type="dxa"/>
            </w:tcMar>
          </w:tcPr>
          <w:p>
            <w:r>
              <w:rPr>
                <w:sz w:val="17"/>
              </w:rPr>
              <w:t>운영 및 인건비 (3개년)</w:t>
            </w:r>
          </w:p>
        </w:tc>
        <w:tc>
          <w:tcPr>
            <w:tcW w:type="dxa" w:w="2340"/>
            <w:shd w:fill="FFFFFF"/>
            <w:tcMar>
              <w:top w:w="60" w:type="dxa"/>
              <w:bottom w:w="60" w:type="dxa"/>
              <w:left w:w="80" w:type="dxa"/>
              <w:right w:w="80" w:type="dxa"/>
            </w:tcMar>
          </w:tcPr>
          <w:p>
            <w:r>
              <w:rPr>
                <w:sz w:val="17"/>
              </w:rPr>
              <w:t>$150,000</w:t>
            </w:r>
          </w:p>
        </w:tc>
        <w:tc>
          <w:tcPr>
            <w:tcW w:type="dxa" w:w="2340"/>
            <w:shd w:fill="FFFFFF"/>
            <w:tcMar>
              <w:top w:w="60" w:type="dxa"/>
              <w:bottom w:w="60" w:type="dxa"/>
              <w:left w:w="80" w:type="dxa"/>
              <w:right w:w="80" w:type="dxa"/>
            </w:tcMar>
          </w:tcPr>
          <w:p>
            <w:r>
              <w:rPr>
                <w:sz w:val="17"/>
              </w:rPr>
              <w:t>$120,000</w:t>
            </w:r>
          </w:p>
        </w:tc>
        <w:tc>
          <w:tcPr>
            <w:tcW w:type="dxa" w:w="2340"/>
            <w:shd w:fill="FFFFFF"/>
            <w:tcMar>
              <w:top w:w="60" w:type="dxa"/>
              <w:bottom w:w="60" w:type="dxa"/>
              <w:left w:w="80" w:type="dxa"/>
              <w:right w:w="80" w:type="dxa"/>
            </w:tcMar>
          </w:tcPr>
          <w:p>
            <w:r>
              <w:rPr>
                <w:sz w:val="17"/>
              </w:rPr>
              <w:t>20% 절감 (Prism 자동화)</w:t>
            </w:r>
          </w:p>
        </w:tc>
      </w:tr>
      <w:tr>
        <w:tc>
          <w:tcPr>
            <w:tcW w:type="dxa" w:w="2340"/>
            <w:shd w:fill="EFF6FF"/>
            <w:tcMar>
              <w:top w:w="60" w:type="dxa"/>
              <w:bottom w:w="60" w:type="dxa"/>
              <w:left w:w="80" w:type="dxa"/>
              <w:right w:w="80" w:type="dxa"/>
            </w:tcMar>
          </w:tcPr>
          <w:p>
            <w:r>
              <w:rPr>
                <w:b/>
                <w:color w:val="0F172A"/>
                <w:sz w:val="17"/>
              </w:rPr>
              <w:t>3개년 총 TCO 합계</w:t>
            </w:r>
          </w:p>
        </w:tc>
        <w:tc>
          <w:tcPr>
            <w:tcW w:type="dxa" w:w="2340"/>
            <w:shd w:fill="EFF6FF"/>
            <w:tcMar>
              <w:top w:w="60" w:type="dxa"/>
              <w:bottom w:w="60" w:type="dxa"/>
              <w:left w:w="80" w:type="dxa"/>
              <w:right w:w="80" w:type="dxa"/>
            </w:tcMar>
          </w:tcPr>
          <w:p>
            <w:r>
              <w:rPr>
                <w:b/>
                <w:color w:val="0F172A"/>
                <w:sz w:val="17"/>
              </w:rPr>
              <w:t>$399,000 (~5.38억 원)</w:t>
            </w:r>
          </w:p>
        </w:tc>
        <w:tc>
          <w:tcPr>
            <w:tcW w:type="dxa" w:w="2340"/>
            <w:shd w:fill="EFF6FF"/>
            <w:tcMar>
              <w:top w:w="60" w:type="dxa"/>
              <w:bottom w:w="60" w:type="dxa"/>
              <w:left w:w="80" w:type="dxa"/>
              <w:right w:w="80" w:type="dxa"/>
            </w:tcMar>
          </w:tcPr>
          <w:p>
            <w:r>
              <w:rPr>
                <w:b/>
                <w:color w:val="0F172A"/>
                <w:sz w:val="17"/>
              </w:rPr>
              <w:t>$270,000 (~3.64억 원)</w:t>
            </w:r>
          </w:p>
        </w:tc>
        <w:tc>
          <w:tcPr>
            <w:tcW w:type="dxa" w:w="2340"/>
            <w:shd w:fill="EFF6FF"/>
            <w:tcMar>
              <w:top w:w="60" w:type="dxa"/>
              <w:bottom w:w="60" w:type="dxa"/>
              <w:left w:w="80" w:type="dxa"/>
              <w:right w:w="80" w:type="dxa"/>
            </w:tcMar>
          </w:tcPr>
          <w:p>
            <w:r>
              <w:rPr>
                <w:b/>
                <w:color w:val="10B981"/>
                <w:sz w:val="17"/>
              </w:rPr>
              <w:t>총 $129,000 (~1.74억 원 절감)</w:t>
            </w:r>
          </w:p>
        </w:tc>
      </w:tr>
    </w:tbl>
    <w:p>
      <w:pPr>
        <w:spacing w:before="360" w:after="160"/>
      </w:pPr>
      <w:r>
        <w:rPr>
          <w:b/>
          <w:color w:val="0F172A"/>
          <w:sz w:val="27"/>
        </w:rPr>
        <w:t>6. 참고 문헌 및 출처 (References &amp; Sources)</w:t>
      </w:r>
    </w:p>
    <w:p>
      <w:pPr>
        <w:spacing w:after="40"/>
        <w:ind w:left="288"/>
      </w:pPr>
      <w:r>
        <w:rPr>
          <w:color w:val="64748B"/>
          <w:sz w:val="16"/>
        </w:rPr>
        <w:t>1. Broadcom Inc., 'VMware Cloud Foundation (VCF) and VMware vSphere Foundation (VVF) Packaging &amp; Pricing Guide', Official Whitepaper, 2024-2026.</w:t>
      </w:r>
    </w:p>
    <w:p>
      <w:pPr>
        <w:spacing w:after="40"/>
        <w:ind w:left="288"/>
      </w:pPr>
      <w:r>
        <w:rPr>
          <w:color w:val="64748B"/>
          <w:sz w:val="16"/>
        </w:rPr>
        <w:t>2. Nutanix Inc., 'Nutanix Cloud Platform vs. VMware vSphere TCO &amp; Workload Migration Analysis Whitepaper', 2025.</w:t>
      </w:r>
    </w:p>
    <w:p>
      <w:pPr>
        <w:spacing w:after="40"/>
        <w:ind w:left="288"/>
      </w:pPr>
      <w:r>
        <w:rPr>
          <w:color w:val="64748B"/>
          <w:sz w:val="16"/>
        </w:rPr>
        <w:t>3. Red Hat Inc., 'Red Hat OpenShift Virtualization: Migrating Virtual Machines to Cloud-Native Infrastructure', Technical Architecture Guide, 2025.</w:t>
      </w:r>
    </w:p>
    <w:p>
      <w:pPr>
        <w:spacing w:after="40"/>
        <w:ind w:left="288"/>
      </w:pPr>
      <w:r>
        <w:rPr>
          <w:color w:val="64748B"/>
          <w:sz w:val="16"/>
        </w:rPr>
        <w:t>4. Gartner Research, 'Market Guide for Cloud-Native Infrastructure &amp; Hyperconverged Platforms', Gartner Report, 2025.</w:t>
      </w:r>
    </w:p>
    <w:p>
      <w:pPr>
        <w:spacing w:after="40"/>
        <w:ind w:left="288"/>
      </w:pPr>
      <w:r>
        <w:rPr>
          <w:color w:val="64748B"/>
          <w:sz w:val="16"/>
        </w:rPr>
        <w:t>5. S-Core Insight, '국내 엔터프라이즈 가상화 시장 변화와 클라우드 네이티브 현대화 전략', S-Core Consulting Report, 2024-2025.</w:t>
      </w:r>
    </w:p>
    <w:p>
      <w:pPr>
        <w:spacing w:after="40"/>
        <w:ind w:left="288"/>
      </w:pPr>
      <w:r>
        <w:rPr>
          <w:color w:val="64748B"/>
          <w:sz w:val="16"/>
        </w:rPr>
        <w:t>6. ZDNet Korea &amp; 디지털데일리, 'Broadcom 인수 후 국내 가상화 대안 솔루션 도입 및 PoC 현황 (HD한국조선해양, BNK금융그룹 등 심층 분석 기사)', 2025.</w:t>
      </w:r>
    </w:p>
    <w:p>
      <w:pPr>
        <w:spacing w:after="40"/>
        <w:ind w:left="288"/>
      </w:pPr>
      <w:r>
        <w:rPr>
          <w:color w:val="64748B"/>
          <w:sz w:val="16"/>
        </w:rPr>
        <w:t>7. Veeam Software, 'Enterprise Cloud Data Management &amp; Multi-Platform Migration Trends Report', 2025.</w:t>
      </w:r>
    </w:p>
    <w:p>
      <w:pPr>
        <w:spacing w:after="40"/>
        <w:ind w:left="288"/>
      </w:pPr>
      <w:r>
        <w:rPr>
          <w:color w:val="64748B"/>
          <w:sz w:val="16"/>
        </w:rPr>
        <w:t>8. AWS &amp; Nutanix, 'Nutanix Cloud Clusters (NC2) on AWS Architecture and Migration Best Practices', 2026.</w:t>
      </w:r>
    </w:p>
    <w:p>
      <w:pPr>
        <w:spacing w:after="40"/>
        <w:ind w:left="288"/>
      </w:pPr>
      <w:r>
        <w:rPr>
          <w:color w:val="64748B"/>
          <w:sz w:val="16"/>
        </w:rPr>
        <w:t>9. MEGAZONECLOUD Corp., 'Nutanix 기반 Hybrid Cloud Sales Offering Guide v1.4 &amp; ISV Sales Playbook', 2026.08.</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7"/>
      </w:rPr>
      <w:t>MEGAZONECLOUD ISV/Hybrid Cloud BU | VMware Migration Strategic Report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