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t xml:space="preserve">Verzeichnis von Verarbeitungstätigkeiten</w:t>
      </w:r>
    </w:p>
    <w:p>
      <w:pPr>
        <w:spacing w:after="600"/>
        <w:jc w:val="center"/>
      </w:pPr>
      <w:r>
        <w:rPr>
          <w:sz w:val="24"/>
          <w:szCs w:val="24"/>
        </w:rPr>
        <w:t xml:space="preserve">gemäß Art. 30 Abs. 1 DSGVO</w:t>
      </w:r>
    </w:p>
    <w:p>
      <w:pPr>
        <w:pStyle w:val="Heading2"/>
        <w:spacing w:before="400" w:after="200"/>
      </w:pPr>
      <w:r>
        <w:t xml:space="preserve">Verantwortlicher</w:t>
      </w:r>
    </w:p>
    <w:p>
      <w:pPr>
        <w:spacing w:after="100"/>
      </w:pPr>
      <w:r>
        <w:rPr>
          <w:b/>
          <w:bCs/>
        </w:rPr>
        <w:t xml:space="preserve">Name der Behörde/Einrichtung: </w:t>
      </w:r>
      <w:r>
        <w:t xml:space="preserve">[Ihre Behörde]</w:t>
      </w:r>
    </w:p>
    <w:p>
      <w:pPr>
        <w:spacing w:after="100"/>
      </w:pPr>
      <w:r>
        <w:rPr>
          <w:b/>
          <w:bCs/>
        </w:rPr>
        <w:t xml:space="preserve">Anschrift: </w:t>
      </w:r>
      <w:r>
        <w:t xml:space="preserve">[Straße, PLZ Ort]</w:t>
      </w:r>
    </w:p>
    <w:p>
      <w:pPr>
        <w:spacing w:after="100"/>
      </w:pPr>
      <w:r>
        <w:rPr>
          <w:b/>
          <w:bCs/>
        </w:rPr>
        <w:t xml:space="preserve">Telefon: </w:t>
      </w:r>
      <w:r>
        <w:t xml:space="preserve">[Telefonnummer]</w:t>
      </w:r>
    </w:p>
    <w:p>
      <w:pPr>
        <w:spacing w:after="100"/>
      </w:pPr>
      <w:r>
        <w:rPr>
          <w:b/>
          <w:bCs/>
        </w:rPr>
        <w:t xml:space="preserve">E-Mail: </w:t>
      </w:r>
      <w:r>
        <w:t xml:space="preserve">[E-Mail-Adresse]</w:t>
      </w:r>
    </w:p>
    <w:p>
      <w:pPr>
        <w:spacing w:after="400"/>
      </w:pPr>
      <w:r>
        <w:rPr>
          <w:b/>
          <w:bCs/>
        </w:rPr>
        <w:t xml:space="preserve">Datenschutzbeauftragter: </w:t>
      </w:r>
      <w:r>
        <w:t xml:space="preserve">[Name, E-Mail, Telefon]</w:t>
      </w:r>
    </w:p>
    <w:p>
      <w:pPr>
        <w:pStyle w:val="Heading2"/>
        <w:spacing w:before="400" w:after="200"/>
      </w:pPr>
      <w:r>
        <w:t xml:space="preserve">Verarbeitungstätigkeit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Bezeichnung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Client-seitige Datenanalyse-Webapp</w:t>
            </w:r>
          </w:p>
        </w:tc>
      </w:tr>
      <w:tr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Ansprechpartner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[Name des Projektverantwortlichen]
[Telefon]
[E-Mail]</w:t>
            </w:r>
          </w:p>
        </w:tc>
      </w:tr>
      <w:tr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Datum der Einführung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[TT.MM.JJJJ]</w:t>
            </w:r>
          </w:p>
        </w:tc>
      </w:tr>
      <w:tr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Zweck der Verarbeitung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Automatisierte Analyse sensibler Dateien zur [spezifischen Zweck eintragen, z.B. Qualitätssicherung, Compliance-Prüfung, statistische Auswertung]
Rechtsgrundlage: Art. 6 Abs. 1 lit. e DSGVO i.V.m. [spezifische Rechtsgrundlage, z.B. BayDSG, Fachgesetz]</w:t>
            </w:r>
          </w:p>
        </w:tc>
      </w:tr>
      <w:tr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Kategorien betroffener Personen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[Anpassen nach Bedarf, z.B.:]
• Bürgerinnen und Bürger
• Beschäftigte der Behörde
• Antragsteller
• [weitere Kategorien]</w:t>
            </w:r>
          </w:p>
        </w:tc>
      </w:tr>
      <w:tr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Kategorien personenbezogener Daten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[Anpassen nach Bedarf, z.B.:]
• Stammdaten (Name, Adresse, Geburtsdatum)
• Kontaktdaten
• Vertragsdaten
• [ggf. besondere Kategorien nach Art. 9 DSGVO spezifizieren]</w:t>
            </w:r>
          </w:p>
        </w:tc>
      </w:tr>
      <w:tr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Kategorien von Empfängern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Keine
Begründung: Die Verarbeitung erfolgt ausschließlich client-seitig im Browser des Nutzers. Es findet keine Datenübertragung an Server, Dritte oder andere Empfänger statt.</w:t>
            </w:r>
          </w:p>
        </w:tc>
      </w:tr>
      <w:tr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Übermittlung in Drittländer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Keine
Begründung: Alle Daten verbleiben lokal auf dem Endgerät des Nutzers. Es erfolgt keine Übermittlung in Drittländer oder an internationale Organisationen.</w:t>
            </w:r>
          </w:p>
        </w:tc>
      </w:tr>
      <w:tr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Löschfristen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Automatische Löschung bei Beendigung der Browser-Sitzung
Begründung: Da keine persistente Speicherung erfolgt, werden alle Daten automatisch gelöscht, sobald der Nutzer die Webapp schließt oder den Browser-Tab beendet. Es erfolgt keine dauerhafte Speicherung.</w:t>
            </w:r>
          </w:p>
        </w:tc>
      </w:tr>
    </w:tbl>
    <w:p>
      <w:pPr>
        <w:pStyle w:val="Heading2"/>
        <w:spacing w:before="600" w:after="200"/>
      </w:pPr>
      <w:r>
        <w:t xml:space="preserve">Technische und organisatorische Maßnahmen (TOM)</w:t>
      </w:r>
    </w:p>
    <w:p>
      <w:pPr>
        <w:spacing w:before="200" w:after="100"/>
      </w:pPr>
      <w:r>
        <w:rPr>
          <w:b/>
          <w:bCs/>
        </w:rPr>
        <w:t xml:space="preserve">1. Vertraulichkeit (Art. 32 Abs. 1 lit. b DSGVO)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Maßnahme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Zutrittskontrolle</w:t>
            </w:r>
          </w:p>
        </w:tc>
        <w:tc>
          <w:tcPr>
            <w:tcW w:type="pct" w:w="6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Keine physische Zutrittskontrolle erforderlich, da keine Server-Infrastruktur betrieben wird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Zugangskontrolle</w:t>
            </w:r>
          </w:p>
        </w:tc>
        <w:tc>
          <w:tcPr>
            <w:tcW w:type="pct" w:w="6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• Browser-basierte Sandbox-Umgebung
• Same-Origin-Policy verhindert unbefugten Zugriff
• Kein Backend-System, daher keine Zugriffsberechtigungen erforderlich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Zugriffskontrolle</w:t>
            </w:r>
          </w:p>
        </w:tc>
        <w:tc>
          <w:tcPr>
            <w:tcW w:type="pct" w:w="6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• Client-Side-Only-Verarbeitung: Daten verlassen niemals das Endgerät
• Keine persistente Speicherung
• Keine Zugriffsmöglichkeit durch Dritte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Trennungskontrolle</w:t>
            </w:r>
          </w:p>
        </w:tc>
        <w:tc>
          <w:tcPr>
            <w:tcW w:type="pct" w:w="6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• Automatische Isolation durch Browser-Architektur
• Keine Vermischung mit anderen Datenbeständen möglich
• Jede Session ist vollständig getrennt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Pseudonymisierung</w:t>
            </w:r>
          </w:p>
        </w:tc>
        <w:tc>
          <w:tcPr>
            <w:tcW w:type="pct" w:w="6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Nicht erforderlich, da keine dauerhafte Speicherung oder Übermittlung erfolgt</w:t>
            </w:r>
          </w:p>
        </w:tc>
      </w:tr>
    </w:tbl>
    <w:p>
      <w:pPr>
        <w:spacing w:before="300" w:after="100"/>
      </w:pPr>
      <w:r>
        <w:rPr>
          <w:b/>
          <w:bCs/>
        </w:rPr>
        <w:t xml:space="preserve">2. Integrität (Art. 32 Abs. 1 lit. b DSGVO)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Maßnahme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Weitergabekontrolle</w:t>
            </w:r>
          </w:p>
        </w:tc>
        <w:tc>
          <w:tcPr>
            <w:tcW w:type="pct" w:w="6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• Keine Datenübertragung an Server oder Dritte
• Kein E-Mail-Versand oder Export-Funktionen
• Content Security Policy (CSP) verhindert unautorisierten Datenabfluss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Eingabekontrolle</w:t>
            </w:r>
          </w:p>
        </w:tc>
        <w:tc>
          <w:tcPr>
            <w:tcW w:type="pct" w:w="6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• Browser-Console-Logs dokumentieren Verarbeitungsschritte (optional)
• Transparente Verarbeitung für den Nutzer sichtbar</w:t>
            </w:r>
          </w:p>
        </w:tc>
      </w:tr>
    </w:tbl>
    <w:p>
      <w:pPr>
        <w:spacing w:before="300" w:after="100"/>
      </w:pPr>
      <w:r>
        <w:rPr>
          <w:b/>
          <w:bCs/>
        </w:rPr>
        <w:t xml:space="preserve">3. Verfügbarkeit und Belastbarkeit (Art. 32 Abs. 1 lit. b DSGVO)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Maßnahme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Verfügbarkeitskontrolle</w:t>
            </w:r>
          </w:p>
        </w:tc>
        <w:tc>
          <w:tcPr>
            <w:tcW w:type="pct" w:w="6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• HTTPS-only Deployment zur sicheren Übertragung der Webapp
• Hosting auf zuverlässiger Infrastruktur
• Regelmäßige Verfügbarkeitsprüfung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Rasche Wiederherstellbarkeit</w:t>
            </w:r>
          </w:p>
        </w:tc>
        <w:tc>
          <w:tcPr>
            <w:tcW w:type="pct" w:w="6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• Statische Webapp kann schnell neu deployed werden
• Versionskontrolle (Git) für schnelle Rollbacks
• Keine Datenbanken oder persistente Systeme, die wiederhergestellt werden müssen</w:t>
            </w:r>
          </w:p>
        </w:tc>
      </w:tr>
    </w:tbl>
    <w:p>
      <w:pPr>
        <w:spacing w:before="300" w:after="100"/>
      </w:pPr>
      <w:r>
        <w:rPr>
          <w:b/>
          <w:bCs/>
        </w:rPr>
        <w:t xml:space="preserve">4. Verfahren zur Überprüfung, Bewertung und Evaluierung (Art. 32 Abs. 1 lit. d DSGVO)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Maßnahme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Datenschutz-Management</w:t>
            </w:r>
          </w:p>
        </w:tc>
        <w:tc>
          <w:tcPr>
            <w:tcW w:type="pct" w:w="6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• Regelmäßige Überprüfung der Client-Side-Verarbeitung
• Code-Reviews vor Updates
• Dokumentation aller Änderungen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Incident-Response</w:t>
            </w:r>
          </w:p>
        </w:tc>
        <w:tc>
          <w:tcPr>
            <w:tcW w:type="pct" w:w="6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• Prozess zur Meldung von Sicherheitsvorfällen etabliert
• Bei Verdacht auf Datenleck: Sofortige Abschaltung möglich
• Kontaktperson für Sicherheitsfragen benannt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Datenschutzfreundliche Voreinstellungen</w:t>
            </w:r>
          </w:p>
        </w:tc>
        <w:tc>
          <w:tcPr>
            <w:tcW w:type="pct" w:w="6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• Privacy by Design: Keine Datensammlung vorgesehen
• Privacy by Default: Minimale Datenverarbeitung
• Transparente Informationen für Nutzer</w:t>
            </w:r>
          </w:p>
        </w:tc>
      </w:tr>
    </w:tbl>
    <w:p>
      <w:pPr>
        <w:spacing w:before="300" w:after="100"/>
      </w:pPr>
      <w:r>
        <w:rPr>
          <w:b/>
          <w:bCs/>
        </w:rPr>
        <w:t xml:space="preserve">5. Technische Sicherheitsmaßnahmen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Maßnahme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Transportverschlüsselung</w:t>
            </w:r>
          </w:p>
        </w:tc>
        <w:tc>
          <w:tcPr>
            <w:tcW w:type="pct" w:w="6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• HTTPS-Verschlüsselung (TLS 1.2 oder höher) für die Webapp
• HSTS (HTTP Strict Transport Security) aktiviert
• Sichere Cipher Suites konfiguriert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Content Security Policy</w:t>
            </w:r>
          </w:p>
        </w:tc>
        <w:tc>
          <w:tcPr>
            <w:tcW w:type="pct" w:w="6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• CSP-Header konfiguriert
• Blockierung externer Scripts und Ressourcen
• Verhinderung von Cross-Site-Scripting (XSS)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Subresource Integrity</w:t>
            </w:r>
          </w:p>
        </w:tc>
        <w:tc>
          <w:tcPr>
            <w:tcW w:type="pct" w:w="6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• SRI-Hashes für alle eingebundenen Bibliotheken
• Schutz vor kompromittierten CDN-Ressourcen
• Sicherstellung der Code-Integrität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Keine externen Abhängigkeiten</w:t>
            </w:r>
          </w:p>
        </w:tc>
        <w:tc>
          <w:tcPr>
            <w:tcW w:type="pct" w:w="6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[Stack-Option 1: Rein HTML/JS]
• Keine Einbindung externer APIs
• Keine Third-Party-Services
• Vollständige Kontrolle über Code-Basis
[Stack-Option 2: Mit webR]
• WebAssembly läuft lokal im Browser
• Keine Server-Side R-Ausführung
• Alle Bibliotheken gebundelt und geprüft</w:t>
            </w:r>
          </w:p>
        </w:tc>
      </w:tr>
    </w:tbl>
    <w:p>
      <w:pPr>
        <w:pStyle w:val="Heading2"/>
        <w:spacing w:before="600" w:after="200"/>
      </w:pPr>
      <w:r>
        <w:t xml:space="preserve">Besondere Risiken und Gegenmaßnahmen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Risiko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Eintrittswahrscheinlichkeit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Gegenmaßnahme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Browser-Schwachstellen könnten zu Datenabfluss führen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Gering (Browser-Sicherheit wird von Herstellern kontinuierlich verbessert)</w:t>
            </w:r>
          </w:p>
        </w:tc>
        <w:tc>
          <w:tcPr>
            <w:tcW w:type="pct" w:w="3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• Hinweis an Nutzer, aktuelle Browser-Versionen zu verwenden
• CSP und SRI als zusätzliche Schutzebenen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Versehentliches Teilen von Screenshots/Bildschirmaufnahmen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Mittel (liegt im Verantwortungsbereich der Nutzer)</w:t>
            </w:r>
          </w:p>
        </w:tc>
        <w:tc>
          <w:tcPr>
            <w:tcW w:type="pct" w:w="3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• Deutlicher Hinweis in der Webapp
• Schulung der Nutzer
• Dokumentation der Verantwortlichkeiten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Kompromittierung des Hosting-Servers (Code-Manipulation)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Gering bei Einsatz sicherer Hosting-Infrastruktur</w:t>
            </w:r>
          </w:p>
        </w:tc>
        <w:tc>
          <w:tcPr>
            <w:tcW w:type="pct" w:w="3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• Deployment auf vertrauenswürdiger Infrastruktur (deutscher/bayerischer Server)
• Regelmäßige Integritätsprüfungen
• Versionskontrolle und Change-Management</w:t>
            </w:r>
          </w:p>
        </w:tc>
      </w:tr>
    </w:tbl>
    <w:p>
      <w:pPr>
        <w:pStyle w:val="Heading2"/>
        <w:spacing w:before="600" w:after="200"/>
      </w:pPr>
      <w:r>
        <w:t xml:space="preserve">Hinweise zur Nutzung</w:t>
      </w:r>
    </w:p>
    <w:p>
      <w:pPr>
        <w:spacing w:after="100"/>
      </w:pPr>
      <w:r>
        <w:rPr>
          <w:b/>
          <w:bCs/>
        </w:rPr>
        <w:t xml:space="preserve">Dieses Verzeichnis wurde erstellt am: </w:t>
      </w:r>
      <w:r>
        <w:t xml:space="preserve">[TT.MM.JJJJ]</w:t>
      </w:r>
    </w:p>
    <w:p>
      <w:pPr>
        <w:spacing w:after="100"/>
      </w:pPr>
      <w:r>
        <w:rPr>
          <w:b/>
          <w:bCs/>
        </w:rPr>
        <w:t xml:space="preserve">Letzte Aktualisierung: </w:t>
      </w:r>
      <w:r>
        <w:t xml:space="preserve">[TT.MM.JJJJ]</w:t>
      </w:r>
    </w:p>
    <w:p>
      <w:pPr>
        <w:spacing w:before="200" w:after="100"/>
      </w:pPr>
      <w:r>
        <w:rPr>
          <w:b/>
          <w:bCs/>
        </w:rPr>
        <w:t xml:space="preserve">Wichtige Anpassungen:</w:t>
      </w:r>
    </w:p>
    <w:p>
      <w:pPr>
        <w:spacing w:after="50"/>
      </w:pPr>
      <w:r>
        <w:t xml:space="preserve">1. Ergänzen Sie alle Platzhalter in eckigen Klammern [...]</w:t>
      </w:r>
    </w:p>
    <w:p>
      <w:pPr>
        <w:spacing w:after="50"/>
      </w:pPr>
      <w:r>
        <w:t xml:space="preserve">2. Passen Sie die Kategorien betroffener Personen und Daten an Ihren konkreten Anwendungsfall an</w:t>
      </w:r>
    </w:p>
    <w:p>
      <w:pPr>
        <w:spacing w:after="50"/>
      </w:pPr>
      <w:r>
        <w:t xml:space="preserve">3. Wählen Sie die zutreffende Stack-Option (HTML/JS oder webR) bei den technischen Maßnahmen</w:t>
      </w:r>
    </w:p>
    <w:p>
      <w:pPr>
        <w:spacing w:after="50"/>
      </w:pPr>
      <w:r>
        <w:t xml:space="preserve">4. Ergänzen Sie die spezifische Rechtsgrundlage für Ihre Verarbeitung</w:t>
      </w:r>
    </w:p>
    <w:p>
      <w:pPr>
        <w:spacing w:after="300"/>
      </w:pPr>
      <w:r>
        <w:t xml:space="preserve">5. Stimmen Sie das Verzeichnis mit Ihrem behördlichen Datenschutzbeauftragten ab</w:t>
      </w:r>
    </w:p>
    <w:p>
      <w:pPr>
        <w:spacing w:before="200"/>
      </w:pPr>
      <w:r>
        <w:rPr>
          <w:i/>
          <w:iCs/>
          <w:sz w:val="20"/>
          <w:szCs w:val="20"/>
        </w:rPr>
        <w:t xml:space="preserve">Dieses Verzeichnis ist der Datenschutzaufsichtsbehörde auf Anfrage zur Verfügung zu stellen.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color w:val="2C5F8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color w:val="2C5F8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2026-02-03T13:49:05.491Z</dcterms:created>
  <dcterms:modified xsi:type="dcterms:W3CDTF">2026-02-03T13:49:05.492Z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