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  <w:r>
        <w:t xml:space="preserve"> </w:t>
      </w: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rPr>
          <w:iCs/>
          <w:i/>
        </w:rPr>
        <w:t xml:space="preserve">Midnight</w:t>
      </w:r>
      <w:r>
        <w:rPr>
          <w:iCs/>
          <w:i/>
        </w:rPr>
        <w:t xml:space="preserve"> </w:t>
      </w:r>
      <w:r>
        <w:rPr>
          <w:iCs/>
          <w:i/>
        </w:rP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OC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Святашова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практических навыков работы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 </w:t>
      </w:r>
      <w:r>
        <w:t xml:space="preserve">и освоение языка ассемблера mov и int.</w:t>
      </w:r>
    </w:p>
    <w:bookmarkEnd w:id="20"/>
    <w:bookmarkStart w:id="21" w:name="теори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Теоритическое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</w:p>
    <w:p>
      <w:pPr>
        <w:pStyle w:val="BodyText"/>
      </w:pP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</w:p>
    <w:bookmarkEnd w:id="21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midnight-commander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Midnight Commander</w:t>
      </w:r>
    </w:p>
    <w:p>
      <w:pPr>
        <w:numPr>
          <w:ilvl w:val="0"/>
          <w:numId w:val="1001"/>
        </w:numPr>
        <w:pStyle w:val="Compact"/>
      </w:pPr>
      <w:r>
        <w:t xml:space="preserve">Откроем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(рис. 1):</w:t>
      </w:r>
    </w:p>
    <w:p>
      <w:pPr>
        <w:pStyle w:val="CaptionedFigure"/>
      </w:pPr>
      <w:r>
        <w:drawing>
          <wp:inline>
            <wp:extent cx="4800600" cy="2996255"/>
            <wp:effectExtent b="0" l="0" r="0" t="0"/>
            <wp:docPr descr="Рис. 1: Команда mc" title="" id="23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9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mc</w:t>
      </w:r>
    </w:p>
    <w:p>
      <w:pPr>
        <w:numPr>
          <w:ilvl w:val="0"/>
          <w:numId w:val="1002"/>
        </w:numPr>
        <w:pStyle w:val="Compact"/>
      </w:pPr>
      <w:r>
        <w:t xml:space="preserve">Пользуясь клавишами на клавиатуре перейдем в каталог ~/work/arch-pc созданный при выполнении лабораторной работы №4(рис. 2):</w:t>
      </w:r>
    </w:p>
    <w:p>
      <w:pPr>
        <w:pStyle w:val="CaptionedFigure"/>
      </w:pPr>
      <w:r>
        <w:drawing>
          <wp:inline>
            <wp:extent cx="4800600" cy="3317586"/>
            <wp:effectExtent b="0" l="0" r="0" t="0"/>
            <wp:docPr descr="Рис. 2: Каталог arch-pc" title="" id="2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arch-pc</w:t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F7 создадим папку lab05(рис. 3) и перейдем в созданный каталог(рис. 4):</w:t>
      </w:r>
    </w:p>
    <w:p>
      <w:pPr>
        <w:pStyle w:val="CaptionedFigure"/>
      </w:pPr>
      <w:r>
        <w:drawing>
          <wp:inline>
            <wp:extent cx="4800600" cy="3317586"/>
            <wp:effectExtent b="0" l="0" r="0" t="0"/>
            <wp:docPr descr="Рис. 3: Создание папки" title="" id="29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папки</w:t>
      </w:r>
    </w:p>
    <w:p>
      <w:pPr>
        <w:pStyle w:val="CaptionedFigure"/>
      </w:pPr>
      <w:r>
        <w:drawing>
          <wp:inline>
            <wp:extent cx="4800600" cy="3317586"/>
            <wp:effectExtent b="0" l="0" r="0" t="0"/>
            <wp:docPr descr="Рис. 4: Папка" title="" id="32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Папка</w:t>
      </w:r>
    </w:p>
    <w:p>
      <w:pPr>
        <w:numPr>
          <w:ilvl w:val="0"/>
          <w:numId w:val="1004"/>
        </w:numPr>
        <w:pStyle w:val="Compact"/>
      </w:pPr>
      <w:r>
        <w:t xml:space="preserve">Пользуясь строкой ввода и коммандой touch создадим файл lab5-1.asm(рис. 5):</w:t>
      </w:r>
    </w:p>
    <w:p>
      <w:pPr>
        <w:pStyle w:val="CaptionedFigure"/>
      </w:pPr>
      <w:r>
        <w:drawing>
          <wp:inline>
            <wp:extent cx="4800600" cy="925004"/>
            <wp:effectExtent b="0" l="0" r="0" t="0"/>
            <wp:docPr descr="Рис. 5: Создание файла lab5-1.asm" title="" id="35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2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 lab5-1.asm</w:t>
      </w:r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F4 откроем файл lab5-1.asm для редактирования во встроенном редакторе mcedit(рис. 6):</w:t>
      </w:r>
    </w:p>
    <w:p>
      <w:pPr>
        <w:pStyle w:val="CaptionedFigure"/>
      </w:pPr>
      <w:r>
        <w:drawing>
          <wp:inline>
            <wp:extent cx="4800600" cy="3317586"/>
            <wp:effectExtent b="0" l="0" r="0" t="0"/>
            <wp:docPr descr="Рис. 6: Файл lab5-1.asm" title="" id="38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lab5-1.asm</w:t>
      </w:r>
    </w:p>
    <w:p>
      <w:pPr>
        <w:numPr>
          <w:ilvl w:val="0"/>
          <w:numId w:val="1006"/>
        </w:numPr>
        <w:pStyle w:val="Compact"/>
      </w:pPr>
      <w:r>
        <w:t xml:space="preserve">Введем текст программы из листинга 1.1(рис. 7), сохраним изменения(рис. 8) и закроем файл:</w:t>
      </w:r>
    </w:p>
    <w:p>
      <w:pPr>
        <w:pStyle w:val="CaptionedFigure"/>
      </w:pPr>
      <w:r>
        <w:drawing>
          <wp:inline>
            <wp:extent cx="4800600" cy="3317586"/>
            <wp:effectExtent b="0" l="0" r="0" t="0"/>
            <wp:docPr descr="Рис. 7: Ввод текста из листинга" title="" id="41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текста из листинга</w:t>
      </w:r>
    </w:p>
    <w:p>
      <w:pPr>
        <w:pStyle w:val="CaptionedFigure"/>
      </w:pPr>
      <w:r>
        <w:drawing>
          <wp:inline>
            <wp:extent cx="4800600" cy="3317586"/>
            <wp:effectExtent b="0" l="0" r="0" t="0"/>
            <wp:docPr descr="Рис. 8: Сохранения файла с текстом из листинга" title="" id="44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Сохранения файла с текстом из листинга</w:t>
      </w:r>
    </w:p>
    <w:p>
      <w:pPr>
        <w:pStyle w:val="BodyText"/>
      </w:pPr>
      <w:r>
        <w:rPr>
          <w:bCs/>
          <w:b/>
        </w:rPr>
        <w:t xml:space="preserve">Листинг 1.1. Программа вывода сообщения на экран и ввода строки с клавиатуры</w:t>
      </w:r>
    </w:p>
    <w:p>
      <w:pPr>
        <w:pStyle w:val="BodyText"/>
      </w:pPr>
      <w:r>
        <w:t xml:space="preserve">;——————————————————————</w:t>
      </w:r>
      <w:r>
        <w:t xml:space="preserve"> </w:t>
      </w:r>
      <w:r>
        <w:t xml:space="preserve">; Программа вывода сообщения на экран и ввода строки с клавиатуры</w:t>
      </w:r>
      <w:r>
        <w:t xml:space="preserve"> </w:t>
      </w:r>
      <w:r>
        <w:t xml:space="preserve">;——————————————————————</w:t>
      </w:r>
      <w:r>
        <w:t xml:space="preserve"> </w:t>
      </w:r>
      <w:r>
        <w:t xml:space="preserve">;——————- Объявление переменных —————-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,10 ; сообщение плюс</w:t>
      </w:r>
      <w:r>
        <w:t xml:space="preserve"> </w:t>
      </w:r>
      <w:r>
        <w:t xml:space="preserve">; символ перевода строки</w:t>
      </w:r>
      <w:r>
        <w:t xml:space="preserve"> </w:t>
      </w:r>
      <w:r>
        <w:t xml:space="preserve">msgLen: EQU $-msg ; Длина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;——————- Текст программы —————–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;———— Cистемный вызов</w:t>
      </w:r>
      <w:r>
        <w:t xml:space="preserve"> </w:t>
      </w:r>
      <w:r>
        <w:rPr>
          <w:rStyle w:val="VerbatimChar"/>
        </w:rPr>
        <w:t xml:space="preserve">write</w:t>
      </w:r>
      <w:r>
        <w:t xml:space="preserve"> </w:t>
      </w:r>
      <w:r>
        <w:t xml:space="preserve">; После вызова инструкции</w:t>
      </w:r>
      <w:r>
        <w:t xml:space="preserve"> </w:t>
      </w:r>
      <w:r>
        <w:t xml:space="preserve">‘</w:t>
      </w:r>
      <w:r>
        <w:t xml:space="preserve">int 80h</w:t>
      </w:r>
      <w:r>
        <w:t xml:space="preserve">’</w:t>
      </w:r>
      <w:r>
        <w:t xml:space="preserve"> </w:t>
      </w:r>
      <w:r>
        <w:t xml:space="preserve">на экран будет</w:t>
      </w:r>
      <w:r>
        <w:t xml:space="preserve"> </w:t>
      </w:r>
      <w:r>
        <w:t xml:space="preserve">; выведено сообщение из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длиной</w:t>
      </w:r>
      <w:r>
        <w:t xml:space="preserve"> </w:t>
      </w:r>
      <w:r>
        <w:t xml:space="preserve">‘</w:t>
      </w:r>
      <w:r>
        <w:t xml:space="preserve">msgLen</w:t>
      </w:r>
      <w:r>
        <w:t xml:space="preserve">’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 1 - стандартный вывод</w:t>
      </w:r>
      <w:r>
        <w:t xml:space="preserve"> </w:t>
      </w:r>
      <w:r>
        <w:t xml:space="preserve">mov ecx,msg ; Адрес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ecx</w:t>
      </w:r>
      <w:r>
        <w:t xml:space="preserve">’</w:t>
      </w:r>
      <w:r>
        <w:t xml:space="preserve"> </w:t>
      </w:r>
      <w:r>
        <w:t xml:space="preserve">mov edx,msgLen ; Размер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;———— системный вызов</w:t>
      </w:r>
      <w:r>
        <w:t xml:space="preserve"> </w:t>
      </w:r>
      <w:r>
        <w:rPr>
          <w:rStyle w:val="VerbatimChar"/>
        </w:rPr>
        <w:t xml:space="preserve">read</w:t>
      </w:r>
      <w:r>
        <w:t xml:space="preserve"> </w:t>
      </w:r>
      <w:r>
        <w:t xml:space="preserve">———————-</w:t>
      </w:r>
      <w:r>
        <w:t xml:space="preserve"> </w:t>
      </w:r>
      <w:r>
        <w:t xml:space="preserve">; После вызова инструкции</w:t>
      </w:r>
      <w:r>
        <w:t xml:space="preserve"> </w:t>
      </w:r>
      <w:r>
        <w:t xml:space="preserve">‘</w:t>
      </w:r>
      <w:r>
        <w:t xml:space="preserve">int 80h</w:t>
      </w:r>
      <w:r>
        <w:t xml:space="preserve">’</w:t>
      </w:r>
      <w:r>
        <w:t xml:space="preserve"> </w:t>
      </w:r>
      <w:r>
        <w:t xml:space="preserve">программа будет ожидать ввода</w:t>
      </w:r>
      <w:r>
        <w:t xml:space="preserve"> </w:t>
      </w:r>
      <w:r>
        <w:t xml:space="preserve">; строки, которая будет записана в переменную</w:t>
      </w:r>
      <w:r>
        <w:t xml:space="preserve"> </w:t>
      </w:r>
      <w:r>
        <w:t xml:space="preserve">‘</w:t>
      </w:r>
      <w:r>
        <w:t xml:space="preserve">buf1</w:t>
      </w:r>
      <w:r>
        <w:t xml:space="preserve">’</w:t>
      </w:r>
      <w:r>
        <w:t xml:space="preserve"> </w:t>
      </w:r>
      <w:r>
        <w:t xml:space="preserve">размером 80 байт</w:t>
      </w:r>
      <w:r>
        <w:t xml:space="preserve"> </w:t>
      </w:r>
      <w:r>
        <w:t xml:space="preserve">mov eax, 3 ; Системный вызов для чтения (sys_read)</w:t>
      </w:r>
      <w:r>
        <w:t xml:space="preserve"> </w:t>
      </w:r>
      <w:r>
        <w:t xml:space="preserve">mov ebx, 0 ; Дескриптор файла 0 - стандартный ввод</w:t>
      </w:r>
      <w:r>
        <w:t xml:space="preserve"> </w:t>
      </w:r>
      <w:r>
        <w:t xml:space="preserve">mov ecx, buf1 ; Адрес буфера под вводимую строку</w:t>
      </w:r>
      <w:r>
        <w:t xml:space="preserve"> </w:t>
      </w:r>
      <w:r>
        <w:t xml:space="preserve">mov edx, 80 ; Длина вводимой строки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;———— Системный вызов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———————-</w:t>
      </w:r>
      <w:r>
        <w:t xml:space="preserve"> </w:t>
      </w:r>
      <w:r>
        <w:t xml:space="preserve">; После вызова инструкции</w:t>
      </w:r>
      <w:r>
        <w:t xml:space="preserve"> </w:t>
      </w:r>
      <w:r>
        <w:t xml:space="preserve">‘</w:t>
      </w:r>
      <w:r>
        <w:t xml:space="preserve">int 80h</w:t>
      </w:r>
      <w:r>
        <w:t xml:space="preserve">’</w:t>
      </w:r>
      <w:r>
        <w:t xml:space="preserve"> </w:t>
      </w:r>
      <w:r>
        <w:t xml:space="preserve">программа завершит работу</w:t>
      </w:r>
      <w:r>
        <w:t xml:space="preserve"> </w:t>
      </w:r>
      <w:r>
        <w:t xml:space="preserve">mov eax,1 ; Системный вызов для выхода (sys_exit)</w:t>
      </w:r>
      <w:r>
        <w:t xml:space="preserve"> </w:t>
      </w:r>
      <w:r>
        <w:t xml:space="preserve">mov ebx,0 ; Выход с кодом возврата 0 (без ошибок)</w:t>
      </w:r>
      <w:r>
        <w:t xml:space="preserve"> </w:t>
      </w:r>
      <w:r>
        <w:t xml:space="preserve">int 80h ; Вызов ядра</w:t>
      </w: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F3 откройте файл lab5-1.asm для просмотра. Убедимся, что файл содержит текст программы(рис. 9):</w:t>
      </w:r>
    </w:p>
    <w:p>
      <w:pPr>
        <w:pStyle w:val="CaptionedFigure"/>
      </w:pPr>
      <w:r>
        <w:drawing>
          <wp:inline>
            <wp:extent cx="4800600" cy="3317586"/>
            <wp:effectExtent b="0" l="0" r="0" t="0"/>
            <wp:docPr descr="Рис. 9: Проверка файла" title="" id="47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файла</w:t>
      </w:r>
    </w:p>
    <w:p>
      <w:pPr>
        <w:numPr>
          <w:ilvl w:val="0"/>
          <w:numId w:val="1008"/>
        </w:numPr>
        <w:pStyle w:val="Compact"/>
      </w:pPr>
      <w:r>
        <w:t xml:space="preserve">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введу мое ФИО(рис. 10):</w:t>
      </w:r>
    </w:p>
    <w:p>
      <w:pPr>
        <w:pStyle w:val="CaptionedFigure"/>
      </w:pPr>
      <w:r>
        <w:drawing>
          <wp:inline>
            <wp:extent cx="4800600" cy="821591"/>
            <wp:effectExtent b="0" l="0" r="0" t="0"/>
            <wp:docPr descr="Рис. 10: Программа" title="" id="50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2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Программа</w:t>
      </w:r>
    </w:p>
    <w:bookmarkEnd w:id="52"/>
    <w:bookmarkStart w:id="74" w:name="подключение-внешнего-файла-in_out.as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Для упрощения написания программ часто встречающиеся одинаковые участки кода</w:t>
      </w:r>
      <w:r>
        <w:t xml:space="preserve"> </w:t>
      </w:r>
      <w:r>
        <w:t xml:space="preserve">(такие как, например, вывод строки на экран или выход их программы) можно оформить</w:t>
      </w:r>
      <w:r>
        <w:t xml:space="preserve"> </w:t>
      </w:r>
      <w:r>
        <w:t xml:space="preserve">в виде подпрограмм и сохранить в отдельные файлы, а во всех нужных местах поставить</w:t>
      </w:r>
      <w:r>
        <w:t xml:space="preserve"> </w:t>
      </w:r>
      <w:r>
        <w:t xml:space="preserve">вызов нужной подпрограммы. Это позволяет сделать основную программу более удобной</w:t>
      </w:r>
      <w:r>
        <w:t xml:space="preserve"> </w:t>
      </w:r>
      <w:r>
        <w:t xml:space="preserve">для написания и чтения.</w:t>
      </w:r>
      <w:r>
        <w:t xml:space="preserve"> </w:t>
      </w:r>
      <w:r>
        <w:t xml:space="preserve">NASM позволяет подключать внешние файлы с помощью директивы %include, которая</w:t>
      </w:r>
      <w:r>
        <w:t xml:space="preserve"> </w:t>
      </w:r>
      <w:r>
        <w:t xml:space="preserve">предписывает ассемблеру заменить эту директиву содержимым файла. Подключаемые файлы также написаны на языке ассемблера. Важно отметить, что директива %include в тексте</w:t>
      </w:r>
      <w:r>
        <w:t xml:space="preserve"> </w:t>
      </w:r>
      <w:r>
        <w:t xml:space="preserve">программы должна стоять раньше, чем встречаются вызовы подпрограмм из подключаемого файла. Для вызова подпрограммы из внешнего файла используется инструкция call,</w:t>
      </w:r>
      <w:r>
        <w:t xml:space="preserve"> </w:t>
      </w:r>
      <w:r>
        <w:t xml:space="preserve">которая имеет следующий вид</w:t>
      </w:r>
    </w:p>
    <w:p>
      <w:pPr>
        <w:pStyle w:val="BodyText"/>
      </w:pPr>
      <w:r>
        <w:t xml:space="preserve">call</w:t>
      </w:r>
      <w:r>
        <w:t xml:space="preserve"> </w:t>
      </w:r>
      <w:r>
        <w:t xml:space="preserve"> </w:t>
      </w:r>
      <w:r>
        <w:t xml:space="preserve">где function имя подпрограммы</w:t>
      </w:r>
    </w:p>
    <w:p>
      <w:pPr>
        <w:numPr>
          <w:ilvl w:val="0"/>
          <w:numId w:val="1009"/>
        </w:numPr>
      </w:pPr>
      <w:r>
        <w:t xml:space="preserve">Скачаем файл in_out.asm со страницы курса в ТУИС.</w:t>
      </w:r>
    </w:p>
    <w:p>
      <w:pPr>
        <w:numPr>
          <w:ilvl w:val="0"/>
          <w:numId w:val="1009"/>
        </w:numPr>
      </w:pPr>
      <w:r>
        <w:t xml:space="preserve">Подключаемый файл in_out.asm должен лежать в том же каталоге, что и файл с программой, в которой он используется.</w:t>
      </w:r>
    </w:p>
    <w:p>
      <w:pPr>
        <w:pStyle w:val="FirstParagraph"/>
      </w:pPr>
      <w:r>
        <w:t xml:space="preserve">В одной из панелей mc откроем каталог с файлом lab5-1.asm. В другой панели каталог со скаченным файлом in_out.asm(рис. 11). Скопируем этот файл в каталог с файлом lab5-1.asm с помощью функциональной клавиши F5(рис. 12):</w:t>
      </w:r>
    </w:p>
    <w:p>
      <w:pPr>
        <w:pStyle w:val="CaptionedFigure"/>
      </w:pPr>
      <w:r>
        <w:drawing>
          <wp:inline>
            <wp:extent cx="4800600" cy="3403521"/>
            <wp:effectExtent b="0" l="0" r="0" t="0"/>
            <wp:docPr descr="Рис. 11: Каталог с файлом in_out.asm" title="" id="54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Каталог с файлом in_out.asm</w:t>
      </w:r>
    </w:p>
    <w:p>
      <w:pPr>
        <w:pStyle w:val="CaptionedFigure"/>
      </w:pPr>
      <w:r>
        <w:drawing>
          <wp:inline>
            <wp:extent cx="4800600" cy="3403521"/>
            <wp:effectExtent b="0" l="0" r="0" t="0"/>
            <wp:docPr descr="Рис. 12: Копирование файла" title="" id="57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</w:t>
      </w:r>
    </w:p>
    <w:p>
      <w:pPr>
        <w:numPr>
          <w:ilvl w:val="0"/>
          <w:numId w:val="1010"/>
        </w:numPr>
        <w:pStyle w:val="Compact"/>
      </w:pPr>
      <w:r>
        <w:t xml:space="preserve">С помощью функциональной клавиши F6 создадим копию файла lab5-1.asm с именем lab5-2.asm. Выделим файл lab5-1.asm, нажмем клавишу F6 , введем имя файла lab5-2.asm и нажмем клавишу Enter(рис. 13):</w:t>
      </w:r>
    </w:p>
    <w:p>
      <w:pPr>
        <w:pStyle w:val="CaptionedFigure"/>
      </w:pPr>
      <w:r>
        <w:drawing>
          <wp:inline>
            <wp:extent cx="4800600" cy="3403521"/>
            <wp:effectExtent b="0" l="0" r="0" t="0"/>
            <wp:docPr descr="Рис. 13: Копия файла" title="" id="60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Копия файла</w:t>
      </w:r>
    </w:p>
    <w:p>
      <w:pPr>
        <w:numPr>
          <w:ilvl w:val="0"/>
          <w:numId w:val="1011"/>
        </w:numPr>
        <w:pStyle w:val="Compact"/>
      </w:pPr>
      <w:r>
        <w:t xml:space="preserve">Исправим текст программы в файле lab5-2.asm с использование подпрограмм из внешнего файла in_out.asm (используем подпрограммы sprintLF, sread и quit) в соответствии с листингом 1.2(рис. 14). Создим исполняемый файл и проверим его работу(рис. 15):</w:t>
      </w:r>
    </w:p>
    <w:p>
      <w:pPr>
        <w:pStyle w:val="CaptionedFigure"/>
      </w:pPr>
      <w:r>
        <w:drawing>
          <wp:inline>
            <wp:extent cx="4800600" cy="3403521"/>
            <wp:effectExtent b="0" l="0" r="0" t="0"/>
            <wp:docPr descr="Рис. 14: Исправление текста" title="" id="63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Исправление текста</w:t>
      </w:r>
    </w:p>
    <w:p>
      <w:pPr>
        <w:pStyle w:val="CaptionedFigure"/>
      </w:pPr>
      <w:r>
        <w:drawing>
          <wp:inline>
            <wp:extent cx="4800600" cy="821591"/>
            <wp:effectExtent b="0" l="0" r="0" t="0"/>
            <wp:docPr descr="Рис. 15: Проверка работы программы" title="" id="6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2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работы программы</w:t>
      </w:r>
    </w:p>
    <w:p>
      <w:pPr>
        <w:pStyle w:val="BodyText"/>
      </w:pPr>
      <w:r>
        <w:rPr>
          <w:bCs/>
          <w:b/>
        </w:rPr>
        <w:t xml:space="preserve">Листинг 1.2. Программа вывода сообщения на экран и ввода строки с клавиатуры c использованием файла in_out.asm</w:t>
      </w:r>
    </w:p>
    <w:p>
      <w:pPr>
        <w:pStyle w:val="BodyText"/>
      </w:pPr>
      <w:r>
        <w:t xml:space="preserve">;——————————————————————–</w:t>
      </w:r>
      <w:r>
        <w:t xml:space="preserve"> </w:t>
      </w:r>
      <w:r>
        <w:t xml:space="preserve">; Программа вывода сообщения на экран и ввода строки с клавиатуры</w:t>
      </w:r>
      <w:r>
        <w:t xml:space="preserve"> </w:t>
      </w:r>
      <w:r>
        <w:t xml:space="preserve">;———————————————————————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,0h ; сообщение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sprintLF ; вызов подпрограммы печати сообщения</w:t>
      </w:r>
      <w:r>
        <w:t xml:space="preserve"> </w:t>
      </w: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call sread ; вызов подпрограммы ввода сообщения</w:t>
      </w:r>
      <w:r>
        <w:t xml:space="preserve"> </w:t>
      </w:r>
      <w:r>
        <w:t xml:space="preserve">call quit ; вызов подпрограммы завершения</w:t>
      </w:r>
    </w:p>
    <w:p>
      <w:pPr>
        <w:numPr>
          <w:ilvl w:val="0"/>
          <w:numId w:val="1012"/>
        </w:numPr>
        <w:pStyle w:val="Compact"/>
      </w:pPr>
      <w:r>
        <w:t xml:space="preserve">В файле lab5-2.asm заменим подпрограмму sprintLF на sprint(рис. 16). Создадим исполняемый файл и проверим его работу(рис. 17).</w:t>
      </w:r>
    </w:p>
    <w:p>
      <w:pPr>
        <w:pStyle w:val="CaptionedFigure"/>
      </w:pPr>
      <w:r>
        <w:drawing>
          <wp:inline>
            <wp:extent cx="4800600" cy="3620124"/>
            <wp:effectExtent b="0" l="0" r="0" t="0"/>
            <wp:docPr descr="Рис. 16: Замена sprintLF на sprint" title="" id="69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2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Замена sprintLF на sprint</w:t>
      </w:r>
    </w:p>
    <w:p>
      <w:pPr>
        <w:pStyle w:val="CaptionedFigure"/>
      </w:pPr>
      <w:r>
        <w:drawing>
          <wp:inline>
            <wp:extent cx="4800600" cy="703062"/>
            <wp:effectExtent b="0" l="0" r="0" t="0"/>
            <wp:docPr descr="Рис. 17: Проверка программы" title="" id="72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03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программы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строку.</w:t>
      </w:r>
    </w:p>
    <w:bookmarkEnd w:id="74"/>
    <w:bookmarkEnd w:id="75"/>
    <w:bookmarkStart w:id="94" w:name="задания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13"/>
        </w:numPr>
        <w:pStyle w:val="Compact"/>
      </w:pPr>
      <w:r>
        <w:t xml:space="preserve">Создадим копию файла lab5-1.asm(рис. 18). Внесем изменения в программу(рис. 19)(без использования внешнего файла in_out.asm),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aptionedFigure"/>
      </w:pPr>
      <w:r>
        <w:drawing>
          <wp:inline>
            <wp:extent cx="4800600" cy="3525394"/>
            <wp:effectExtent b="0" l="0" r="0" t="0"/>
            <wp:docPr descr="Рис. 18: Копирование файла" title="" id="77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25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p>
      <w:pPr>
        <w:pStyle w:val="CaptionedFigure"/>
      </w:pPr>
      <w:r>
        <w:drawing>
          <wp:inline>
            <wp:extent cx="4800600" cy="3525394"/>
            <wp:effectExtent b="0" l="0" r="0" t="0"/>
            <wp:docPr descr="Рис. 19: Исправленная программа" title="" id="80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25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Исправленная программа</w:t>
      </w:r>
    </w:p>
    <w:p>
      <w:pPr>
        <w:numPr>
          <w:ilvl w:val="0"/>
          <w:numId w:val="1014"/>
        </w:numPr>
        <w:pStyle w:val="Compact"/>
      </w:pPr>
      <w:r>
        <w:t xml:space="preserve">Получим исполняемый файл и проверьте его работу. На приглашение ввести строку введу свою фамилию(рис. 20):</w:t>
      </w:r>
    </w:p>
    <w:p>
      <w:pPr>
        <w:pStyle w:val="CaptionedFigure"/>
      </w:pPr>
      <w:r>
        <w:drawing>
          <wp:inline>
            <wp:extent cx="5867400" cy="1111897"/>
            <wp:effectExtent b="0" l="0" r="0" t="0"/>
            <wp:docPr descr="Рис. 20: Программа" title="" id="83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1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Программа</w:t>
      </w:r>
    </w:p>
    <w:p>
      <w:pPr>
        <w:numPr>
          <w:ilvl w:val="0"/>
          <w:numId w:val="1015"/>
        </w:numPr>
        <w:pStyle w:val="Compact"/>
      </w:pPr>
      <w:r>
        <w:t xml:space="preserve">Создим копию файла lab5-2.asm(рис. 21). Исправим текст программы(рис. 22) с использование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экран.:</w:t>
      </w:r>
    </w:p>
    <w:p>
      <w:pPr>
        <w:pStyle w:val="CaptionedFigure"/>
      </w:pPr>
      <w:r>
        <w:drawing>
          <wp:inline>
            <wp:extent cx="5867400" cy="4308815"/>
            <wp:effectExtent b="0" l="0" r="0" t="0"/>
            <wp:docPr descr="Рис. 21: Копирование файла" title="" id="8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0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файла</w:t>
      </w:r>
    </w:p>
    <w:p>
      <w:pPr>
        <w:pStyle w:val="CaptionedFigure"/>
      </w:pPr>
      <w:r>
        <w:drawing>
          <wp:inline>
            <wp:extent cx="5867400" cy="4308815"/>
            <wp:effectExtent b="0" l="0" r="0" t="0"/>
            <wp:docPr descr="Рис. 22: Исправленная программа" title="" id="89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0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Исправленная программа</w:t>
      </w:r>
    </w:p>
    <w:p>
      <w:pPr>
        <w:numPr>
          <w:ilvl w:val="0"/>
          <w:numId w:val="1016"/>
        </w:numPr>
        <w:pStyle w:val="Compact"/>
      </w:pPr>
      <w:r>
        <w:t xml:space="preserve">Создайте исполняемый файл и проверьте его работу(рис. 23):</w:t>
      </w:r>
    </w:p>
    <w:p>
      <w:pPr>
        <w:pStyle w:val="CaptionedFigure"/>
      </w:pPr>
      <w:r>
        <w:drawing>
          <wp:inline>
            <wp:extent cx="5867400" cy="945280"/>
            <wp:effectExtent b="0" l="0" r="0" t="0"/>
            <wp:docPr descr="Рис. 23: Программа" title="" id="92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5/report/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4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Программа</w:t>
      </w:r>
    </w:p>
    <w:bookmarkEnd w:id="94"/>
    <w:bookmarkStart w:id="95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я приобрела практические навыки работы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 </w:t>
      </w:r>
      <w:r>
        <w:t xml:space="preserve">и освоила язык ассемблера mov и int.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5</dc:title>
  <dc:creator>Студент: Святашова Ксения Евгеньевна</dc:creator>
  <dc:language>ru-RU</dc:language>
  <cp:keywords/>
  <dcterms:created xsi:type="dcterms:W3CDTF">2024-11-01T16:09:56Z</dcterms:created>
  <dcterms:modified xsi:type="dcterms:W3CDTF">2024-11-01T16:09:56Z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компьютера. Основы работы с Midnight Commander (mc). Структура программы на языке ассемблера NASM. Системные вызовы в OC GNU Linux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