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chapter-4-test-analysis-and-design"/>
    <w:p>
      <w:pPr>
        <w:pStyle w:val="Heading1"/>
      </w:pPr>
      <w:r>
        <w:t xml:space="preserve">🔬 Chapter 4 — Test Analysis and Design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11-12 questions</w:t>
      </w:r>
      <w:r>
        <w:t xml:space="preserve"> </w:t>
      </w:r>
      <w:r>
        <w:t xml:space="preserve">out of 40 (27.5-30% of the exam)</w:t>
      </w:r>
    </w:p>
    <w:p>
      <w:pPr>
        <w:pStyle w:val="Compact"/>
        <w:numPr>
          <w:ilvl w:val="0"/>
          <w:numId w:val="1001"/>
        </w:numPr>
      </w:pPr>
      <w:r>
        <w:t xml:space="preserve">K-levels: K1, K2, and</w:t>
      </w:r>
      <w:r>
        <w:t xml:space="preserve"> </w:t>
      </w:r>
      <w:r>
        <w:rPr>
          <w:b/>
          <w:bCs/>
        </w:rPr>
        <w:t xml:space="preserve">K3 (apply)</w:t>
      </w:r>
      <w:r>
        <w:t xml:space="preserve"> </w:t>
      </w:r>
      <w:r>
        <w:t xml:space="preserve">— this chapter has the most K3 objectives</w:t>
      </w:r>
    </w:p>
    <w:p>
      <w:pPr>
        <w:pStyle w:val="Compact"/>
        <w:numPr>
          <w:ilvl w:val="0"/>
          <w:numId w:val="1001"/>
        </w:numPr>
      </w:pPr>
      <w:r>
        <w:t xml:space="preserve">This is the highest-weighted chapter on the exam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FL-4.1.1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Distinguish black-box, white-box, and experience-based test techniques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FL-4.2.1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Use equivalence partitioning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FL-4.2.2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Use boundary value analysis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FL-4.2.3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Use decision table testing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FL-4.2.4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Use state transition testing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FL-4.3.1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Use statement testing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FL-4.3.2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Use branch testing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FL-4.3.3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Explain the value of white-box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FL-4.4.1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Explain error guessing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FL-4.4.2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Explain exploratory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FL-4.4.3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Explain checklist-based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FL-4.5.1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Explain how to write collaborative user stories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Classify the different options for writing acceptance criteria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FL-4.5.3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Use acceptance test-driven development (ATDD)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4.1 through 4.5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worked_examples.md</w:t>
      </w:r>
      <w:r>
        <w:t xml:space="preserve"> </w:t>
      </w:r>
      <w:r>
        <w:t xml:space="preserve">— Step-by-step examples for EP, BVA, decision tables, state transition, statement/branch coverage, and ATDD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20+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2026-06-30T17:54:02Z</dcterms:created>
  <dcterms:modified xsi:type="dcterms:W3CDTF">2026-06-30T17:54:02Z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