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12" w:name="chapter-6-test-tools"/>
    <w:p>
      <w:pPr>
        <w:pStyle w:val="Heading1"/>
      </w:pPr>
      <w:r>
        <w:t xml:space="preserve">🛠️ Chapter 6 — Test Tools</w:t>
      </w:r>
    </w:p>
    <w:bookmarkStart w:id="9" w:name="exam-weighting"/>
    <w:p>
      <w:pPr>
        <w:pStyle w:val="Heading2"/>
      </w:pPr>
      <w:r>
        <w:t xml:space="preserve">🎓 Exam Weighting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Approximately 2 questions</w:t>
      </w:r>
      <w:r>
        <w:t xml:space="preserve"> </w:t>
      </w:r>
      <w:r>
        <w:t xml:space="preserve">out of 40 (5% of the exam)</w:t>
      </w:r>
    </w:p>
    <w:p>
      <w:pPr>
        <w:pStyle w:val="Compact"/>
        <w:numPr>
          <w:ilvl w:val="0"/>
          <w:numId w:val="1001"/>
        </w:numPr>
      </w:pPr>
      <w:r>
        <w:t xml:space="preserve">K-levels: K1 and K2 only — the lightest chapter</w:t>
      </w:r>
    </w:p>
    <w:bookmarkEnd w:id="9"/>
    <w:bookmarkStart w:id="10" w:name="learning-objectives"/>
    <w:p>
      <w:pPr>
        <w:pStyle w:val="Heading2"/>
      </w:pPr>
      <w:r>
        <w:t xml:space="preserve">🎯 Learning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2036"/>
        <w:gridCol w:w="2941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K-Level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FL-6.1.1</w:t>
            </w:r>
          </w:p>
        </w:tc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Recall the different categories of test tools</w:t>
            </w:r>
          </w:p>
        </w:tc>
        <w:tc>
          <w:tcPr/>
          <w:p>
            <w:pPr>
              <w:pStyle w:val="Compact"/>
            </w:pPr>
            <w:r>
              <w:t xml:space="preserve">K1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FL-6.2.1</w:t>
            </w:r>
          </w:p>
        </w:tc>
        <w:tc>
          <w:tcPr/>
          <w:p>
            <w:pPr>
              <w:pStyle w:val="Compact"/>
            </w:pPr>
            <w:r>
              <w:t xml:space="preserve">6.2</w:t>
            </w:r>
          </w:p>
        </w:tc>
        <w:tc>
          <w:tcPr/>
          <w:p>
            <w:pPr>
              <w:pStyle w:val="Compact"/>
            </w:pPr>
            <w:r>
              <w:t xml:space="preserve">Summarize the benefits and risks of test automation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</w:tbl>
    <w:bookmarkEnd w:id="10"/>
    <w:bookmarkStart w:id="11" w:name="chapter-map"/>
    <w:p>
      <w:pPr>
        <w:pStyle w:val="Heading2"/>
      </w:pPr>
      <w:r>
        <w:t xml:space="preserve">⭐ Chapter Map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lessons.md</w:t>
      </w:r>
      <w:r>
        <w:t xml:space="preserve"> </w:t>
      </w:r>
      <w:r>
        <w:t xml:space="preserve">— Full instructional content covering sections 6.1 and 6.2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exam_traps.md</w:t>
      </w:r>
      <w:r>
        <w:t xml:space="preserve"> </w:t>
      </w:r>
      <w:r>
        <w:t xml:space="preserve">— Common mistakes and ISTQB-favorite distinctions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practice_questions.md</w:t>
      </w:r>
      <w:r>
        <w:t xml:space="preserve"> </w:t>
      </w:r>
      <w:r>
        <w:t xml:space="preserve">— 15 original ISTQB-style questions with answer rationales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2026-06-30T17:50:08Z</dcterms:created>
  <dcterms:modified xsi:type="dcterms:W3CDTF">2026-06-30T17:50:08Z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