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80"/>
        <w:jc w:val="center"/>
      </w:pPr>
      <w:r>
        <w:rPr>
          <w:rFonts w:ascii="Georgia" w:cs="Georgia" w:eastAsia="Georgia" w:hAnsi="Georgia"/>
          <w:color w:val="888888"/>
          <w:sz w:val="24"/>
          <w:szCs w:val="24"/>
        </w:rPr>
        <w:t xml:space="preserve">Repetition: Mother of Mastery</w:t>
      </w:r>
    </w:p>
    <w:p>
      <w:pPr>
        <w:spacing w:after="60"/>
        <w:jc w:val="center"/>
      </w:pPr>
      <w:r>
        <w:rPr>
          <w:rFonts w:ascii="Georgia" w:cs="Georgia" w:eastAsia="Georgia" w:hAnsi="Georgia"/>
          <w:b/>
          <w:bCs/>
          <w:color w:val="B8860B"/>
          <w:sz w:val="28"/>
          <w:szCs w:val="28"/>
        </w:rPr>
        <w:t xml:space="preserve">Book II</w:t>
      </w:r>
    </w:p>
    <w:p>
      <w:pPr>
        <w:spacing w:after="60"/>
        <w:jc w:val="center"/>
      </w:pPr>
      <w:r>
        <w:rPr>
          <w:rFonts w:ascii="Georgia" w:cs="Georgia" w:eastAsia="Georgia" w:hAnsi="Georgia"/>
          <w:b/>
          <w:bCs/>
          <w:color w:val="1a1a1a"/>
          <w:sz w:val="48"/>
          <w:szCs w:val="48"/>
        </w:rPr>
        <w:t xml:space="preserve">The Habit Engine</w:t>
      </w:r>
    </w:p>
    <w:p>
      <w:pPr>
        <w:spacing w:after="200"/>
        <w:jc w:val="center"/>
      </w:pPr>
      <w:r>
        <w:rPr>
          <w:rFonts w:ascii="Georgia" w:cs="Georgia" w:eastAsia="Georgia" w:hAnsi="Georgia"/>
          <w:i/>
          <w:iCs/>
          <w:color w:val="555555"/>
          <w:sz w:val="28"/>
          <w:szCs w:val="28"/>
        </w:rPr>
        <w:t xml:space="preserve">Building Habits and the Journey to Excellence</w:t>
      </w:r>
    </w:p>
    <w:p>
      <w:pPr>
        <w:pBdr>
          <w:bottom w:val="single" w:color="CCCCCC" w:sz="1"/>
        </w:pBdr>
        <w:spacing w:after="200"/>
      </w:pPr>
    </w:p>
    <w:p>
      <w:pPr>
        <w:spacing w:after="40"/>
        <w:jc w:val="center"/>
      </w:pPr>
      <w:r>
        <w:rPr>
          <w:rFonts w:ascii="Georgia" w:cs="Georgia" w:eastAsia="Georgia" w:hAnsi="Georgia"/>
          <w:i/>
          <w:iCs/>
          <w:color w:val="444444"/>
          <w:sz w:val="22"/>
          <w:szCs w:val="22"/>
        </w:rPr>
        <w:t xml:space="preserve">"You do not rise to the level of your goals. You fall to the level of your systems."</w:t>
      </w:r>
    </w:p>
    <w:p>
      <w:pPr>
        <w:spacing w:after="200"/>
        <w:jc w:val="center"/>
      </w:pPr>
      <w:r>
        <w:rPr>
          <w:rFonts w:ascii="Georgia" w:cs="Georgia" w:eastAsia="Georgia" w:hAnsi="Georgia"/>
          <w:color w:val="888888"/>
          <w:sz w:val="20"/>
          <w:szCs w:val="20"/>
        </w:rPr>
        <w:t xml:space="preserve">— James Clear</w:t>
      </w:r>
    </w:p>
    <w:p>
      <w:pPr>
        <w:pBdr>
          <w:bottom w:val="single" w:color="CCCCCC" w:sz="1"/>
        </w:pBdr>
        <w:spacing w:after="200"/>
      </w:pPr>
    </w:p>
    <w:p>
      <w:pPr>
        <w:pStyle w:val="Heading2"/>
        <w:spacing w:after="100"/>
      </w:pPr>
      <w:r>
        <w:rPr>
          <w:rFonts w:ascii="Georgia" w:cs="Georgia" w:eastAsia="Georgia" w:hAnsi="Georgia"/>
          <w:b/>
          <w:bCs/>
          <w:color w:val="B8860B"/>
          <w:sz w:val="28"/>
          <w:szCs w:val="28"/>
        </w:rPr>
        <w:t xml:space="preserve">Overview</w:t>
      </w:r>
    </w:p>
    <w:p>
      <w:pPr>
        <w:spacing w:after="120"/>
      </w:pPr>
      <w:r>
        <w:rPr>
          <w:rFonts w:ascii="Georgia" w:cs="Georgia" w:eastAsia="Georgia" w:hAnsi="Georgia"/>
          <w:color w:val="333333"/>
          <w:sz w:val="22"/>
          <w:szCs w:val="22"/>
        </w:rPr>
        <w:t xml:space="preserve">Transform scientific understanding into daily action. Engineer the habit loop, embrace micro-habits, prove that consistency beats intensity, design your environment for success, and build discipline that doesn't depend on willpower.</w:t>
      </w:r>
    </w:p>
    <w:p>
      <w:pPr>
        <w:spacing w:after="200"/>
      </w:pPr>
      <w:r>
        <w:rPr>
          <w:rFonts w:ascii="Georgia" w:cs="Georgia" w:eastAsia="Georgia" w:hAnsi="Georgia"/>
          <w:color w:val="333333"/>
          <w:sz w:val="22"/>
          <w:szCs w:val="22"/>
        </w:rPr>
        <w:t xml:space="preserve">Understanding the science is only the beginning — now it's time to engineer the systems that make mastery inevitable. This second volume transforms neuroscience into daily action, revealing the hidden mechanics of the habit loop and showing you exactly how to harness cue, routine, and reward to build unbreakable practice habits. You'll discover why starting impossibly small creates unstoppable momentum, why consistency demolishes intensity every time, and how to design your environment so that practice becomes the path of least resistance. From tracking the compound effect of small wins to breaking through plateaus, from cultivating a growth mindset to building discipline that doesn't depend on the fleeting fire of motivation — this book is your blueprint for constructing an engine of excellence that runs on autopilot.</w:t>
      </w:r>
    </w:p>
    <w:p>
      <w:pPr>
        <w:pBdr>
          <w:bottom w:val="single" w:color="CCCCCC" w:sz="1"/>
        </w:pBdr>
        <w:spacing w:after="200"/>
      </w:pPr>
    </w:p>
    <w:p>
      <w:pPr>
        <w:pStyle w:val="Heading2"/>
        <w:spacing w:after="120"/>
      </w:pPr>
      <w:r>
        <w:rPr>
          <w:rFonts w:ascii="Georgia" w:cs="Georgia" w:eastAsia="Georgia" w:hAnsi="Georgia"/>
          <w:b/>
          <w:bCs/>
          <w:color w:val="B8860B"/>
          <w:sz w:val="28"/>
          <w:szCs w:val="28"/>
        </w:rPr>
        <w:t xml:space="preserve">Chapters</w:t>
      </w:r>
    </w:p>
    <w:p>
      <w:pPr>
        <w:spacing w:after="40"/>
      </w:pPr>
      <w:r>
        <w:rPr>
          <w:rFonts w:ascii="Georgia" w:cs="Georgia" w:eastAsia="Georgia" w:hAnsi="Georgia"/>
          <w:b/>
          <w:bCs/>
          <w:color w:val="1a1a1a"/>
          <w:sz w:val="24"/>
          <w:szCs w:val="24"/>
        </w:rPr>
        <w:t xml:space="preserve">Chapter 11: The Habit Loop — Cue, Routine, Reward</w:t>
      </w:r>
    </w:p>
    <w:p>
      <w:pPr>
        <w:spacing w:after="140"/>
      </w:pPr>
      <w:r>
        <w:rPr>
          <w:rFonts w:ascii="Georgia" w:cs="Georgia" w:eastAsia="Georgia" w:hAnsi="Georgia"/>
          <w:color w:val="444444"/>
          <w:sz w:val="22"/>
          <w:szCs w:val="22"/>
        </w:rPr>
        <w:t xml:space="preserve">The neurological cycle that drives all habitual behavior and how to engineer it for consistent practice.</w:t>
      </w:r>
    </w:p>
    <w:p>
      <w:pPr>
        <w:spacing w:after="40"/>
      </w:pPr>
      <w:r>
        <w:rPr>
          <w:rFonts w:ascii="Georgia" w:cs="Georgia" w:eastAsia="Georgia" w:hAnsi="Georgia"/>
          <w:b/>
          <w:bCs/>
          <w:color w:val="1a1a1a"/>
          <w:sz w:val="24"/>
          <w:szCs w:val="24"/>
        </w:rPr>
        <w:t xml:space="preserve">Chapter 12: Starting Small — The Power of Micro-Habits</w:t>
      </w:r>
    </w:p>
    <w:p>
      <w:pPr>
        <w:spacing w:after="140"/>
      </w:pPr>
      <w:r>
        <w:rPr>
          <w:rFonts w:ascii="Georgia" w:cs="Georgia" w:eastAsia="Georgia" w:hAnsi="Georgia"/>
          <w:color w:val="444444"/>
          <w:sz w:val="22"/>
          <w:szCs w:val="22"/>
        </w:rPr>
        <w:t xml:space="preserve">Why starting impossibly small creates unstoppable momentum that carries you far beyond the initial commitment.</w:t>
      </w:r>
    </w:p>
    <w:p>
      <w:pPr>
        <w:spacing w:after="40"/>
      </w:pPr>
      <w:r>
        <w:rPr>
          <w:rFonts w:ascii="Georgia" w:cs="Georgia" w:eastAsia="Georgia" w:hAnsi="Georgia"/>
          <w:b/>
          <w:bCs/>
          <w:color w:val="1a1a1a"/>
          <w:sz w:val="24"/>
          <w:szCs w:val="24"/>
        </w:rPr>
        <w:t xml:space="preserve">Chapter 13: Consistency Over Intensity</w:t>
      </w:r>
    </w:p>
    <w:p>
      <w:pPr>
        <w:spacing w:after="140"/>
      </w:pPr>
      <w:r>
        <w:rPr>
          <w:rFonts w:ascii="Georgia" w:cs="Georgia" w:eastAsia="Georgia" w:hAnsi="Georgia"/>
          <w:color w:val="444444"/>
          <w:sz w:val="22"/>
          <w:szCs w:val="22"/>
        </w:rPr>
        <w:t xml:space="preserve">Scientific proof that daily moderate effort produces dramatically better results than sporadic intense bursts.</w:t>
      </w:r>
    </w:p>
    <w:p>
      <w:pPr>
        <w:spacing w:after="40"/>
      </w:pPr>
      <w:r>
        <w:rPr>
          <w:rFonts w:ascii="Georgia" w:cs="Georgia" w:eastAsia="Georgia" w:hAnsi="Georgia"/>
          <w:b/>
          <w:bCs/>
          <w:color w:val="1a1a1a"/>
          <w:sz w:val="24"/>
          <w:szCs w:val="24"/>
        </w:rPr>
        <w:t xml:space="preserve">Chapter 14: Environmental Design</w:t>
      </w:r>
    </w:p>
    <w:p>
      <w:pPr>
        <w:spacing w:after="140"/>
      </w:pPr>
      <w:r>
        <w:rPr>
          <w:rFonts w:ascii="Georgia" w:cs="Georgia" w:eastAsia="Georgia" w:hAnsi="Georgia"/>
          <w:color w:val="444444"/>
          <w:sz w:val="22"/>
          <w:szCs w:val="22"/>
        </w:rPr>
        <w:t xml:space="preserve">How to restructure your surroundings so practice becomes the path of least resistance.</w:t>
      </w:r>
    </w:p>
    <w:p>
      <w:pPr>
        <w:spacing w:after="40"/>
      </w:pPr>
      <w:r>
        <w:rPr>
          <w:rFonts w:ascii="Georgia" w:cs="Georgia" w:eastAsia="Georgia" w:hAnsi="Georgia"/>
          <w:b/>
          <w:bCs/>
          <w:color w:val="1a1a1a"/>
          <w:sz w:val="24"/>
          <w:szCs w:val="24"/>
        </w:rPr>
        <w:t xml:space="preserve">Chapter 15: Tracking Progress — The Compound Effect of Small Wins</w:t>
      </w:r>
    </w:p>
    <w:p>
      <w:pPr>
        <w:spacing w:after="140"/>
      </w:pPr>
      <w:r>
        <w:rPr>
          <w:rFonts w:ascii="Georgia" w:cs="Georgia" w:eastAsia="Georgia" w:hAnsi="Georgia"/>
          <w:color w:val="444444"/>
          <w:sz w:val="22"/>
          <w:szCs w:val="22"/>
        </w:rPr>
        <w:t xml:space="preserve">How tracking incremental progress harnesses the extraordinary power of tiny daily improvements.</w:t>
      </w:r>
    </w:p>
    <w:p>
      <w:pPr>
        <w:spacing w:after="40"/>
      </w:pPr>
      <w:r>
        <w:rPr>
          <w:rFonts w:ascii="Georgia" w:cs="Georgia" w:eastAsia="Georgia" w:hAnsi="Georgia"/>
          <w:b/>
          <w:bCs/>
          <w:color w:val="1a1a1a"/>
          <w:sz w:val="24"/>
          <w:szCs w:val="24"/>
        </w:rPr>
        <w:t xml:space="preserve">Chapter 16: Overcoming Plateaus</w:t>
      </w:r>
    </w:p>
    <w:p>
      <w:pPr>
        <w:spacing w:after="140"/>
      </w:pPr>
      <w:r>
        <w:rPr>
          <w:rFonts w:ascii="Georgia" w:cs="Georgia" w:eastAsia="Georgia" w:hAnsi="Georgia"/>
          <w:color w:val="444444"/>
          <w:sz w:val="22"/>
          <w:szCs w:val="22"/>
        </w:rPr>
        <w:t xml:space="preserve">Proven strategies for identifying, understanding, and breaking through stagnation.</w:t>
      </w:r>
    </w:p>
    <w:p>
      <w:pPr>
        <w:spacing w:after="40"/>
      </w:pPr>
      <w:r>
        <w:rPr>
          <w:rFonts w:ascii="Georgia" w:cs="Georgia" w:eastAsia="Georgia" w:hAnsi="Georgia"/>
          <w:b/>
          <w:bCs/>
          <w:color w:val="1a1a1a"/>
          <w:sz w:val="24"/>
          <w:szCs w:val="24"/>
        </w:rPr>
        <w:t xml:space="preserve">Chapter 17: The Growth Mindset</w:t>
      </w:r>
    </w:p>
    <w:p>
      <w:pPr>
        <w:spacing w:after="140"/>
      </w:pPr>
      <w:r>
        <w:rPr>
          <w:rFonts w:ascii="Georgia" w:cs="Georgia" w:eastAsia="Georgia" w:hAnsi="Georgia"/>
          <w:color w:val="444444"/>
          <w:sz w:val="22"/>
          <w:szCs w:val="22"/>
        </w:rPr>
        <w:t xml:space="preserve">How to rewire your relationship with failure so setbacks become fuel for growth.</w:t>
      </w:r>
    </w:p>
    <w:p>
      <w:pPr>
        <w:spacing w:after="40"/>
      </w:pPr>
      <w:r>
        <w:rPr>
          <w:rFonts w:ascii="Georgia" w:cs="Georgia" w:eastAsia="Georgia" w:hAnsi="Georgia"/>
          <w:b/>
          <w:bCs/>
          <w:color w:val="1a1a1a"/>
          <w:sz w:val="24"/>
          <w:szCs w:val="24"/>
        </w:rPr>
        <w:t xml:space="preserve">Chapter 18: Intrinsic vs. Extrinsic Motivation</w:t>
      </w:r>
    </w:p>
    <w:p>
      <w:pPr>
        <w:spacing w:after="140"/>
      </w:pPr>
      <w:r>
        <w:rPr>
          <w:rFonts w:ascii="Georgia" w:cs="Georgia" w:eastAsia="Georgia" w:hAnsi="Georgia"/>
          <w:color w:val="444444"/>
          <w:sz w:val="22"/>
          <w:szCs w:val="22"/>
        </w:rPr>
        <w:t xml:space="preserve">The critical difference between motivation that burns out and motivation that sustains effort for a lifetime.</w:t>
      </w:r>
    </w:p>
    <w:p>
      <w:pPr>
        <w:spacing w:after="40"/>
      </w:pPr>
      <w:r>
        <w:rPr>
          <w:rFonts w:ascii="Georgia" w:cs="Georgia" w:eastAsia="Georgia" w:hAnsi="Georgia"/>
          <w:b/>
          <w:bCs/>
          <w:color w:val="1a1a1a"/>
          <w:sz w:val="24"/>
          <w:szCs w:val="24"/>
        </w:rPr>
        <w:t xml:space="preserve">Chapter 19: Discipline Over Motivation</w:t>
      </w:r>
    </w:p>
    <w:p>
      <w:pPr>
        <w:spacing w:after="140"/>
      </w:pPr>
      <w:r>
        <w:rPr>
          <w:rFonts w:ascii="Georgia" w:cs="Georgia" w:eastAsia="Georgia" w:hAnsi="Georgia"/>
          <w:color w:val="444444"/>
          <w:sz w:val="22"/>
          <w:szCs w:val="22"/>
        </w:rPr>
        <w:t xml:space="preserve">Why building systems beats relying on willpower for consistent practice.</w:t>
      </w:r>
    </w:p>
    <w:p>
      <w:pPr>
        <w:spacing w:after="40"/>
      </w:pPr>
      <w:r>
        <w:rPr>
          <w:rFonts w:ascii="Georgia" w:cs="Georgia" w:eastAsia="Georgia" w:hAnsi="Georgia"/>
          <w:b/>
          <w:bCs/>
          <w:color w:val="1a1a1a"/>
          <w:sz w:val="24"/>
          <w:szCs w:val="24"/>
        </w:rPr>
        <w:t xml:space="preserve">Chapter 20: The Journey from Novice to Expert</w:t>
      </w:r>
    </w:p>
    <w:p>
      <w:pPr>
        <w:spacing w:after="140"/>
      </w:pPr>
      <w:r>
        <w:rPr>
          <w:rFonts w:ascii="Georgia" w:cs="Georgia" w:eastAsia="Georgia" w:hAnsi="Georgia"/>
          <w:color w:val="444444"/>
          <w:sz w:val="22"/>
          <w:szCs w:val="22"/>
        </w:rPr>
        <w:t xml:space="preserve">A stage-by-stage map from your first awkward attempt to fluid, effortless 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2026-02-11T11:29:02.683Z</dcterms:created>
  <dcterms:modified xsi:type="dcterms:W3CDTF">2026-02-11T11:29:02.683Z</dcterms:modified>
</cp:coreProperties>
</file>

<file path=docProps/custom.xml><?xml version="1.0" encoding="utf-8"?>
<Properties xmlns="http://schemas.openxmlformats.org/officeDocument/2006/custom-properties" xmlns:vt="http://schemas.openxmlformats.org/officeDocument/2006/docPropsVTypes"/>
</file>