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 — Foundations</w:t>
      </w:r>
    </w:p>
    <w:bookmarkStart w:id="18" w:name="chapter-1-foundations"/>
    <w:p>
      <w:pPr>
        <w:pStyle w:val="Heading1"/>
      </w:pPr>
      <w:r>
        <w:t xml:space="preserve">Chapter 1 — Foundations</w:t>
      </w:r>
    </w:p>
    <w:p>
      <w:pPr>
        <w:pStyle w:val="BlockText"/>
      </w:pPr>
      <w:r>
        <w:rPr>
          <w:b/>
          <w:bCs/>
        </w:rPr>
        <w:t xml:space="preserve">Before you write a single line of React, you need to understand the problem and the data.</w:t>
      </w:r>
      <w:r>
        <w:t xml:space="preserve"> </w:t>
      </w:r>
      <w:r>
        <w:t xml:space="preserve">Half of senior interviews are</w:t>
      </w:r>
      <w:r>
        <w:t xml:space="preserve"> </w:t>
      </w:r>
      <w:r>
        <w:rPr>
          <w:i/>
          <w:iCs/>
        </w:rPr>
        <w:t xml:space="preserve">“how would you model this?”</w:t>
      </w:r>
      <w:r>
        <w:t xml:space="preserve"> </w:t>
      </w:r>
      <w:r>
        <w:t xml:space="preserve">— and that’s a question that’s answered before any JSX gets typed.</w:t>
      </w:r>
    </w:p>
    <w:bookmarkStart w:id="9" w:name="what-youll-learn"/>
    <w:p>
      <w:pPr>
        <w:pStyle w:val="Heading2"/>
      </w:pPr>
      <w:r>
        <w:t xml:space="preserve">What you’ll learn</w:t>
      </w:r>
    </w:p>
    <w:p>
      <w:pPr>
        <w:pStyle w:val="Compact"/>
        <w:numPr>
          <w:ilvl w:val="0"/>
          <w:numId w:val="1001"/>
        </w:numPr>
      </w:pPr>
      <w:r>
        <w:t xml:space="preserve">How to</w:t>
      </w:r>
      <w:r>
        <w:t xml:space="preserve"> </w:t>
      </w:r>
      <w:r>
        <w:rPr>
          <w:b/>
          <w:bCs/>
        </w:rPr>
        <w:t xml:space="preserve">read a problem statement</w:t>
      </w:r>
      <w:r>
        <w:t xml:space="preserve"> </w:t>
      </w:r>
      <w:r>
        <w:t xml:space="preserve">and identify the data shapes it implies.</w:t>
      </w:r>
    </w:p>
    <w:p>
      <w:pPr>
        <w:pStyle w:val="Compact"/>
        <w:numPr>
          <w:ilvl w:val="0"/>
          <w:numId w:val="1001"/>
        </w:numPr>
      </w:pPr>
      <w:r>
        <w:t xml:space="preserve">How to</w:t>
      </w:r>
      <w:r>
        <w:t xml:space="preserve"> </w:t>
      </w:r>
      <w:r>
        <w:rPr>
          <w:b/>
          <w:bCs/>
        </w:rPr>
        <w:t xml:space="preserve">design a data model</w:t>
      </w:r>
      <w:r>
        <w:t xml:space="preserve"> </w:t>
      </w:r>
      <w:r>
        <w:t xml:space="preserve">in TypeScript — interfaces, unions, optional fields.</w:t>
      </w:r>
    </w:p>
    <w:p>
      <w:pPr>
        <w:pStyle w:val="Compact"/>
        <w:numPr>
          <w:ilvl w:val="0"/>
          <w:numId w:val="1001"/>
        </w:numPr>
      </w:pPr>
      <w:r>
        <w:t xml:space="preserve">Why</w:t>
      </w:r>
      <w:r>
        <w:t xml:space="preserve"> </w:t>
      </w:r>
      <w:r>
        <w:rPr>
          <w:b/>
          <w:bCs/>
        </w:rPr>
        <w:t xml:space="preserve">pure functions</w:t>
      </w:r>
      <w:r>
        <w:t xml:space="preserve"> </w:t>
      </w:r>
      <w:r>
        <w:t xml:space="preserve">are the foundation of every React app, even before React enters the picture.</w:t>
      </w:r>
    </w:p>
    <w:p>
      <w:pPr>
        <w:pStyle w:val="Compact"/>
        <w:numPr>
          <w:ilvl w:val="0"/>
          <w:numId w:val="1001"/>
        </w:numPr>
      </w:pPr>
      <w:r>
        <w:t xml:space="preserve">The mental difference between</w:t>
      </w:r>
      <w:r>
        <w:t xml:space="preserve"> </w:t>
      </w:r>
      <w:r>
        <w:rPr>
          <w:i/>
          <w:iCs/>
        </w:rPr>
        <w:t xml:space="preserve">the data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 view of the data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Why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is a valid value (and so is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, but they mean different things).</w:t>
      </w:r>
    </w:p>
    <w:bookmarkEnd w:id="9"/>
    <w:bookmarkStart w:id="13" w:name="lessons-in-this-chapter"/>
    <w:p>
      <w:pPr>
        <w:pStyle w:val="Heading2"/>
      </w:pPr>
      <w:r>
        <w:t xml:space="preserve">Lessons in this chapter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  <w:b/>
            <w:bCs/>
          </w:rPr>
          <w:t xml:space="preserve">01-the-problem.md</w:t>
        </w:r>
      </w:hyperlink>
      <w:r>
        <w:t xml:space="preserve"> </w:t>
      </w:r>
      <w:r>
        <w:t xml:space="preserve">— A pub-style explanation of the fantasy snooker league. No code. The questions every senior asks before opening their editor.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  <w:b/>
            <w:bCs/>
          </w:rPr>
          <w:t xml:space="preserve">02-data-modeling.md</w:t>
        </w:r>
      </w:hyperlink>
      <w:r>
        <w:t xml:space="preserve"> </w:t>
      </w:r>
      <w:r>
        <w:t xml:space="preserve">— Translating</w:t>
      </w:r>
      <w:r>
        <w:t xml:space="preserve"> </w:t>
      </w:r>
      <w:r>
        <w:t xml:space="preserve">“8 friends, 32 players, 31 matches”</w:t>
      </w:r>
      <w:r>
        <w:t xml:space="preserve"> </w:t>
      </w:r>
      <w:r>
        <w:t xml:space="preserve">into TypeScript interfaces. The most important invariant in the whole codebase.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  <w:b/>
            <w:bCs/>
          </w:rPr>
          <w:t xml:space="preserve">03-pure-functions-and-scoring.md</w:t>
        </w:r>
      </w:hyperlink>
      <w:r>
        <w:t xml:space="preserve"> </w:t>
      </w:r>
      <w:r>
        <w:t xml:space="preserve">— Writing</w:t>
      </w:r>
      <w:r>
        <w:t xml:space="preserve"> </w:t>
      </w:r>
      <w:r>
        <w:rPr>
          <w:rStyle w:val="VerbatimChar"/>
        </w:rPr>
        <w:t xml:space="preserve">scorePick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calculateTeamScores</w:t>
      </w:r>
      <w:r>
        <w:t xml:space="preserve"> </w:t>
      </w:r>
      <w:r>
        <w:t xml:space="preserve">with zero React, zero JSX, zero DOM.</w:t>
      </w:r>
    </w:p>
    <w:bookmarkEnd w:id="13"/>
    <w:bookmarkStart w:id="14" w:name="files-youll-create-in-this-chapter"/>
    <w:p>
      <w:pPr>
        <w:pStyle w:val="Heading2"/>
      </w:pPr>
      <w:r>
        <w:t xml:space="preserve">Files you’ll create in this chapter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lib/types.ts</w:t>
      </w:r>
      <w:r>
        <w:t xml:space="preserve"> </w:t>
      </w:r>
      <w:r>
        <w:t xml:space="preserve">— TypeScript interfaces for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PlayerInfo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ScoreDetail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TeamScores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lib/scoring.ts</w:t>
      </w:r>
      <w:r>
        <w:t xml:space="preserve"> </w:t>
      </w:r>
      <w:r>
        <w:t xml:space="preserve">— the two pure functions</w:t>
      </w:r>
      <w:r>
        <w:t xml:space="preserve"> </w:t>
      </w:r>
      <w:r>
        <w:rPr>
          <w:rStyle w:val="VerbatimChar"/>
        </w:rPr>
        <w:t xml:space="preserve">scorePick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calculateTeamScores</w:t>
      </w:r>
      <w:r>
        <w:t xml:space="preserve">.</w:t>
      </w:r>
    </w:p>
    <w:bookmarkEnd w:id="14"/>
    <w:bookmarkStart w:id="15" w:name="new-reactnext.js-concepts-introduced"/>
    <w:p>
      <w:pPr>
        <w:pStyle w:val="Heading2"/>
      </w:pPr>
      <w:r>
        <w:t xml:space="preserve">New React/Next.js concepts introduced</w:t>
      </w:r>
    </w:p>
    <w:p>
      <w:pPr>
        <w:pStyle w:val="FirstParagraph"/>
      </w:pPr>
      <w:r>
        <w:rPr>
          <w:b/>
          <w:bCs/>
        </w:rPr>
        <w:t xml:space="preserve">None.</w:t>
      </w:r>
      <w:r>
        <w:t xml:space="preserve"> </w:t>
      </w:r>
      <w:r>
        <w:t xml:space="preserve">That’s the point of Chapter 1. You’ll use</w:t>
      </w:r>
      <w:r>
        <w:t xml:space="preserve"> </w:t>
      </w:r>
      <w:r>
        <w:rPr>
          <w:rStyle w:val="VerbatimChar"/>
        </w:rPr>
        <w:t xml:space="preserve">interface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 and plain JavaScript functions — no React imports yet.</w:t>
      </w:r>
    </w:p>
    <w:p>
      <w:pPr>
        <w:pStyle w:val="BlockText"/>
      </w:pPr>
      <w:r>
        <w:rPr>
          <w:b/>
          <w:bCs/>
        </w:rPr>
        <w:t xml:space="preserve">Why no React yet?</w:t>
      </w:r>
      <w:r>
        <w:t xml:space="preserve"> </w:t>
      </w:r>
      <w:r>
        <w:t xml:space="preserve">Because</w:t>
      </w:r>
      <w:r>
        <w:t xml:space="preserve"> </w:t>
      </w:r>
      <w:r>
        <w:rPr>
          <w:b/>
          <w:bCs/>
        </w:rPr>
        <w:t xml:space="preserve">the data layer is what survives every UI rewrite.</w:t>
      </w:r>
      <w:r>
        <w:t xml:space="preserve"> </w:t>
      </w:r>
      <w:r>
        <w:t xml:space="preserve">If you can’t model the problem cleanly without React, adding React won’t fix it. Junior devs reach for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on day one and end up with a mess. Seniors model the data first, then ask</w:t>
      </w:r>
      <w:r>
        <w:t xml:space="preserve"> </w:t>
      </w:r>
      <w:r>
        <w:t xml:space="preserve">“where does this</w:t>
      </w:r>
      <w:r>
        <w:t xml:space="preserve"> </w:t>
      </w:r>
      <w:r>
        <w:rPr>
          <w:i/>
          <w:iCs/>
        </w:rPr>
        <w:t xml:space="preserve">change</w:t>
      </w:r>
      <w:r>
        <w:t xml:space="preserve">?”</w:t>
      </w:r>
      <w:r>
        <w:t xml:space="preserve"> </w:t>
      </w:r>
      <w:r>
        <w:t xml:space="preserve">— and the answer to that question is what becomes state. Chapter 1 is the foundation Chapter 4 builds on.</w:t>
      </w:r>
    </w:p>
    <w:bookmarkEnd w:id="15"/>
    <w:bookmarkStart w:id="16" w:name="how-long-it-should-take"/>
    <w:p>
      <w:pPr>
        <w:pStyle w:val="Heading2"/>
      </w:pPr>
      <w:r>
        <w:t xml:space="preserve">How long it should take</w:t>
      </w:r>
    </w:p>
    <w:p>
      <w:pPr>
        <w:pStyle w:val="Compact"/>
        <w:numPr>
          <w:ilvl w:val="0"/>
          <w:numId w:val="1004"/>
        </w:numPr>
      </w:pPr>
      <w:r>
        <w:t xml:space="preserve">30 min reading per lesson</w:t>
      </w:r>
    </w:p>
    <w:p>
      <w:pPr>
        <w:pStyle w:val="Compact"/>
        <w:numPr>
          <w:ilvl w:val="0"/>
          <w:numId w:val="1004"/>
        </w:numPr>
      </w:pPr>
      <w:r>
        <w:t xml:space="preserve">30 min typing the code in lessons 2 and 3</w:t>
      </w:r>
    </w:p>
    <w:p>
      <w:pPr>
        <w:pStyle w:val="Compact"/>
        <w:numPr>
          <w:ilvl w:val="0"/>
          <w:numId w:val="1004"/>
        </w:numPr>
      </w:pPr>
      <w:r>
        <w:t xml:space="preserve">~2.5 hours total for the chapter</w:t>
      </w:r>
    </w:p>
    <w:bookmarkEnd w:id="16"/>
    <w:bookmarkStart w:id="17" w:name="before-you-start"/>
    <w:p>
      <w:pPr>
        <w:pStyle w:val="Heading2"/>
      </w:pPr>
      <w:r>
        <w:t xml:space="preserve">Before you start</w:t>
      </w:r>
    </w:p>
    <w:p>
      <w:pPr>
        <w:pStyle w:val="FirstParagraph"/>
      </w:pPr>
      <w:r>
        <w:t xml:space="preserve">Make sure you have:</w:t>
      </w:r>
    </w:p>
    <w:p>
      <w:pPr>
        <w:pStyle w:val="Compact"/>
        <w:numPr>
          <w:ilvl w:val="0"/>
          <w:numId w:val="1005"/>
        </w:numPr>
      </w:pPr>
      <w:r>
        <w:t xml:space="preserve">A working Node.js install (</w:t>
      </w:r>
      <w:r>
        <w:rPr>
          <w:rStyle w:val="VerbatimChar"/>
        </w:rPr>
        <w:t xml:space="preserve">node --version</w:t>
      </w:r>
      <w:r>
        <w:t xml:space="preserve"> </w:t>
      </w:r>
      <w:r>
        <w:t xml:space="preserve">should print v20 or v22).</w:t>
      </w:r>
    </w:p>
    <w:p>
      <w:pPr>
        <w:pStyle w:val="Compact"/>
        <w:numPr>
          <w:ilvl w:val="0"/>
          <w:numId w:val="1005"/>
        </w:numPr>
      </w:pPr>
      <w:r>
        <w:t xml:space="preserve">An empty folder where you’ll build the project (or use this repo’s root if you’re following along with the finished version open in another window).</w:t>
      </w:r>
    </w:p>
    <w:p>
      <w:pPr>
        <w:pStyle w:val="Compact"/>
        <w:numPr>
          <w:ilvl w:val="0"/>
          <w:numId w:val="1005"/>
        </w:numPr>
      </w:pPr>
      <w:r>
        <w:t xml:space="preserve">90 minutes of uninterrupted time. The lessons reference each other; binge-reading lesson 1 then doing lesson 2 a week later won’t stick.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01-the-problem.md</w:t>
      </w:r>
      <w:r>
        <w:t xml:space="preserve"> </w:t>
      </w:r>
      <w:r>
        <w:t xml:space="preserve">and start there.</w:t>
      </w:r>
    </w:p>
    <w:bookmarkEnd w:id="17"/>
    <w:bookmarkEnd w:id="18"/>
    <w:sectPr>
      <w:footnotePr>
        <w:numRestart w:val="eachSect"/>
      </w:footnotePr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336" w:lineRule="auto"/>
    </w:pPr>
    <w:rPr>
      <w:rFonts w:ascii="Roboto" w:cs="Roboto" w:eastAsia="Roboto" w:hAnsi="Roboto"/>
      <w:color w:val="1A1A1A"/>
      <w:sz w:val="22"/>
    </w:rPr>
  </w:style>
  <w:style w:styleId="BodyText" w:type="paragraph">
    <w:name w:val="Body Text"/>
    <w:basedOn w:val="Normal"/>
    <w:link w:val="BodyTextChar"/>
    <w:qFormat/>
    <w:pPr>
      <w:spacing w:after="80" w:before="180" w:line="324" w:lineRule="auto"/>
    </w:pPr>
    <w:rPr>
      <w:rFonts w:ascii="Roboto" w:cs="Roboto" w:eastAsia="Roboto" w:hAnsi="Roboto"/>
      <w:color w:val="1A1A1A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80" w:line="324" w:lineRule="auto"/>
    </w:pPr>
    <w:rPr>
      <w:rFonts w:ascii="Roboto" w:cs="Roboto" w:eastAsia="Roboto" w:hAnsi="Roboto"/>
      <w:color w:val="1A1A1A"/>
      <w:sz w:val="22"/>
    </w:rPr>
  </w:style>
  <w:style w:customStyle="1" w:styleId="Compact" w:type="paragraph">
    <w:name w:val="Compact"/>
    <w:basedOn w:val="BodyText"/>
    <w:qFormat/>
    <w:pPr>
      <w:spacing w:after="80" w:before="36" w:line="324" w:lineRule="auto"/>
    </w:pPr>
    <w:rPr>
      <w:rFonts w:ascii="Roboto" w:cs="Roboto" w:eastAsia="Roboto" w:hAnsi="Roboto"/>
      <w:color w:val="1A1A1A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60" w:line="276" w:lineRule="auto"/>
      <w:contextualSpacing/>
      <w:jc w:val="center"/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6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480" w:line="288" w:lineRule="auto"/>
    </w:pPr>
    <w:rPr>
      <w:rFonts w:ascii="Roboto" w:cs="Roboto" w:cstheme="majorBidi" w:eastAsia="Roboto" w:eastAsiaTheme="majorEastAsia" w:hAnsi="Roboto"/>
      <w:i w:val="0"/>
      <w:color w:val="555555"/>
      <w:spacing w:val="15"/>
      <w:sz w:val="32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40" w:before="480" w:line="276" w:lineRule="auto"/>
      <w:outlineLvl w:val="0"/>
      <w:pBdr>
        <w:bottom w:color="DDE6F0" w:space="4" w:sz="6" w:val="single"/>
      </w:pBdr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4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400" w:line="276" w:lineRule="auto"/>
      <w:outlineLvl w:val="1"/>
    </w:pPr>
    <w:rPr>
      <w:rFonts w:ascii="Roboto" w:asciiTheme="majorHAnsi" w:cs="Roboto" w:cstheme="majorBidi" w:eastAsia="Roboto" w:eastAsiaTheme="majorEastAsia" w:hAnsi="Roboto" w:hAnsiTheme="majorHAnsi"/>
      <w:b/>
      <w:color w:val="2E5A88"/>
      <w:sz w:val="3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80" w:line="288" w:lineRule="auto"/>
      <w:outlineLvl w:val="2"/>
    </w:pPr>
    <w:rPr>
      <w:rFonts w:ascii="Roboto" w:cs="Roboto" w:cstheme="majorBidi" w:eastAsia="Roboto" w:eastAsiaTheme="majorEastAsia" w:hAnsi="Roboto"/>
      <w:b/>
      <w:color w:val="3D7AB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 w:line="288" w:lineRule="auto"/>
      <w:outlineLvl w:val="3"/>
    </w:pPr>
    <w:rPr>
      <w:rFonts w:ascii="Roboto" w:cs="Roboto" w:cstheme="majorBidi" w:eastAsia="Roboto" w:eastAsiaTheme="majorEastAsia" w:hAnsi="Roboto"/>
      <w:b/>
      <w:i/>
      <w:iCs/>
      <w:color w:val="5A5A5A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80" w:before="160"/>
      <w:outlineLvl w:val="4"/>
    </w:pPr>
    <w:rPr>
      <w:rFonts w:ascii="Roboto" w:cs="Roboto" w:cstheme="majorBidi" w:eastAsia="Roboto" w:eastAsiaTheme="majorEastAsia" w:hAnsi="Roboto"/>
      <w:b/>
      <w:i/>
      <w:color w:val="5A5A5A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80" w:before="120"/>
      <w:outlineLvl w:val="5"/>
    </w:pPr>
    <w:rPr>
      <w:rFonts w:ascii="Roboto" w:cs="Roboto" w:cstheme="majorBidi" w:eastAsia="Roboto" w:eastAsiaTheme="majorEastAsia" w:hAnsi="Roboto"/>
      <w:i/>
      <w:iCs/>
      <w:color w:val="5A5A5A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Roboto" w:cs="Roboto" w:eastAsia="Roboto" w:hAnsi="Roboto"/>
      <w:i/>
      <w:color w:val="555555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Roboto Mono" w:cs="Roboto Mono" w:eastAsia="Roboto Mono" w:hAnsi="Roboto Mono"/>
      <w:color w:val="1F3A5F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Roboto" w:cs="Roboto" w:eastAsia="Roboto" w:hAnsi="Roboto"/>
      <w:color w:val="2E5A8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Roboto" w:asciiTheme="majorHAnsi" w:cs="Roboto" w:cstheme="majorBidi" w:eastAsia="Roboto" w:eastAsiaTheme="majorEastAsia" w:hAnsi="Roboto" w:hAnsiTheme="majorHAnsi"/>
      <w:b w:val="0"/>
      <w:bCs w:val="0"/>
      <w:color w:val="555555"/>
    </w:rPr>
  </w:style>
  <w:style w:customStyle="1" w:styleId="SourceCode" w:type="paragraph">
    <w:name w:val="Source Code"/>
    <w:pPr>
      <w:spacing w:after="80" w:before="80" w:line="300" w:lineRule="auto"/>
      <w:shd w:color="auto" w:fill="F4F4F4" w:val="clear"/>
    </w:pPr>
    <w:rPr>
      <w:rFonts w:ascii="Roboto Mono" w:cs="Roboto Mono" w:eastAsia="Roboto Mono" w:hAnsi="Roboto Mono"/>
      <w:color w:val="1A1A1A"/>
      <w:sz w:val="18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/01-the-problem.md" TargetMode="External" /><Relationship Type="http://schemas.openxmlformats.org/officeDocument/2006/relationships/hyperlink" Id="rId11" Target="./02-data-modeling.md" TargetMode="External" /><Relationship Type="http://schemas.openxmlformats.org/officeDocument/2006/relationships/hyperlink" Id="rId12" Target="./03-pure-functions-and-scorin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/01-the-problem.md" TargetMode="External" /><Relationship Type="http://schemas.openxmlformats.org/officeDocument/2006/relationships/hyperlink" Id="rId11" Target="./02-data-modeling.md" TargetMode="External" /><Relationship Type="http://schemas.openxmlformats.org/officeDocument/2006/relationships/hyperlink" Id="rId12" Target="./03-pure-functions-and-scorin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 — Foundations</dc:title>
  <dc:creator/>
  <cp:keywords/>
  <dcterms:created xsi:type="dcterms:W3CDTF">2026-05-12T02:34:05Z</dcterms:created>
  <dcterms:modified xsi:type="dcterms:W3CDTF">2026-05-12T02:34:05Z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