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 — Data Visualization</w:t>
      </w:r>
    </w:p>
    <w:bookmarkStart w:id="19" w:name="chapter-6-data-visualization"/>
    <w:p>
      <w:pPr>
        <w:pStyle w:val="Heading1"/>
      </w:pPr>
      <w:r>
        <w:t xml:space="preserve">Chapter 6 — Data Visualization</w:t>
      </w:r>
    </w:p>
    <w:p>
      <w:pPr>
        <w:pStyle w:val="BlockText"/>
      </w:pPr>
      <w:r>
        <w:rPr>
          <w:b/>
          <w:bCs/>
        </w:rPr>
        <w:t xml:space="preserve">Charts in React are about data shape, not chart libraries.</w:t>
      </w:r>
      <w:r>
        <w:t xml:space="preserve"> </w:t>
      </w:r>
      <w:r>
        <w:t xml:space="preserve">This chapter teaches you Recharts — but more importantly, it teaches you the</w:t>
      </w:r>
      <w:r>
        <w:t xml:space="preserve"> </w:t>
      </w:r>
      <w:r>
        <w:rPr>
          <w:i/>
          <w:iCs/>
        </w:rPr>
        <w:t xml:space="preserve">transform-then-render</w:t>
      </w:r>
      <w:r>
        <w:t xml:space="preserve"> </w:t>
      </w:r>
      <w:r>
        <w:t xml:space="preserve">pattern that applies to every charting library you’ll ever touch.</w: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Compact"/>
        <w:numPr>
          <w:ilvl w:val="0"/>
          <w:numId w:val="1001"/>
        </w:numPr>
      </w:pPr>
      <w:r>
        <w:t xml:space="preserve">The mental model that makes Recharts feel easy:</w:t>
      </w:r>
      <w:r>
        <w:t xml:space="preserve"> </w:t>
      </w:r>
      <w:r>
        <w:rPr>
          <w:b/>
          <w:bCs/>
        </w:rPr>
        <w:t xml:space="preserve">the chart is a function of the data shape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reshape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teams</w:t>
      </w:r>
      <w:r>
        <w:rPr>
          <w:b/>
          <w:bCs/>
        </w:rPr>
        <w:t xml:space="preserve"> </w:t>
      </w:r>
      <w:r>
        <w:rPr>
          <w:b/>
          <w:bCs/>
        </w:rPr>
        <w:t xml:space="preserve">into chart-ready arrays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.filter()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.reduce()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Stacked vs grouped bars</w:t>
      </w:r>
      <w:r>
        <w:t xml:space="preserve"> </w:t>
      </w:r>
      <w:r>
        <w:t xml:space="preserve">— how a single prop (</w:t>
      </w:r>
      <w:r>
        <w:rPr>
          <w:rStyle w:val="VerbatimChar"/>
        </w:rPr>
        <w:t xml:space="preserve">stackId</w:t>
      </w:r>
      <w:r>
        <w:t xml:space="preserve">) flips between them.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&lt;Cell&gt;</w:t>
      </w:r>
      <w:r>
        <w:t xml:space="preserve"> </w:t>
      </w:r>
      <w:r>
        <w:t xml:space="preserve">— per-bar color overrides for highlighting one row.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Pivot transforms</w:t>
      </w:r>
      <w:r>
        <w:t xml:space="preserve"> </w:t>
      </w:r>
      <w:r>
        <w:t xml:space="preserve">— going from</w:t>
      </w:r>
      <w:r>
        <w:t xml:space="preserve"> </w:t>
      </w:r>
      <w:r>
        <w:t xml:space="preserve">“team → picks”</w:t>
      </w:r>
      <w:r>
        <w:t xml:space="preserve"> </w:t>
      </w:r>
      <w:r>
        <w:t xml:space="preserve">to</w:t>
      </w:r>
      <w:r>
        <w:t xml:space="preserve"> </w:t>
      </w:r>
      <w:r>
        <w:t xml:space="preserve">“match → backers”</w:t>
      </w:r>
      <w:r>
        <w:t xml:space="preserve"> </w:t>
      </w:r>
      <w:r>
        <w:t xml:space="preserve">without losing your mind.</w:t>
      </w:r>
    </w:p>
    <w:p>
      <w:pPr>
        <w:pStyle w:val="Compact"/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b/>
          <w:bCs/>
        </w:rPr>
        <w:t xml:space="preserve">internal state</w:t>
      </w:r>
      <w:r>
        <w:t xml:space="preserve"> </w:t>
      </w:r>
      <w:r>
        <w:t xml:space="preserve">(component-local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) is correct vs lifting it.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chart card pattern</w:t>
      </w:r>
      <w:r>
        <w:t xml:space="preserve"> </w:t>
      </w:r>
      <w:r>
        <w:t xml:space="preserve">— wrap every chart in a consistent container.</w:t>
      </w:r>
    </w:p>
    <w:bookmarkEnd w:id="9"/>
    <w:bookmarkStart w:id="13" w:name="lessons-in-this-chapter"/>
    <w:p>
      <w:pPr>
        <w:pStyle w:val="Heading2"/>
      </w:pPr>
      <w:r>
        <w:t xml:space="preserve">Lessons in this chapter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  <w:b/>
            <w:bCs/>
          </w:rPr>
          <w:t xml:space="preserve">01-recharts-fundamentals.md</w:t>
        </w:r>
      </w:hyperlink>
      <w:r>
        <w:t xml:space="preserve"> </w:t>
      </w:r>
      <w:r>
        <w:t xml:space="preserve">— What Recharts gives you, the components you actually use, the responsive container pattern, and the chart card wrapper.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  <w:b/>
            <w:bCs/>
          </w:rPr>
          <w:t xml:space="preserve">02-reshaping-data.md</w:t>
        </w:r>
      </w:hyperlink>
      <w:r>
        <w:t xml:space="preserve"> </w:t>
      </w:r>
      <w:r>
        <w:t xml:space="preserve">— Three concrete transforms: stacked-bar totals, accuracy %, finalist pick distribution. Plus per-bar</w:t>
      </w:r>
      <w:r>
        <w:t xml:space="preserve"> </w:t>
      </w:r>
      <w:r>
        <w:rPr>
          <w:rStyle w:val="VerbatimChar"/>
        </w:rPr>
        <w:t xml:space="preserve">&lt;Cell&gt;</w:t>
      </w:r>
      <w:r>
        <w:t xml:space="preserve"> </w:t>
      </w:r>
      <w:r>
        <w:t xml:space="preserve">colors.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03-pivots-and-internal-state.md</w:t>
        </w:r>
      </w:hyperlink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&lt;LeagueAgreementChart&gt;</w:t>
      </w:r>
      <w:r>
        <w:t xml:space="preserve"> </w:t>
      </w:r>
      <w:r>
        <w:t xml:space="preserve">case study. Pivoting from team-data to match-data. Why the chart’s tab state is local, not global.</w:t>
      </w:r>
    </w:p>
    <w:bookmarkEnd w:id="13"/>
    <w:bookmarkStart w:id="14" w:name="files-youll-create-or-update"/>
    <w:p>
      <w:pPr>
        <w:pStyle w:val="Heading2"/>
      </w:pPr>
      <w:r>
        <w:t xml:space="preserve">Files you’ll create or update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analytics/</w:t>
      </w:r>
      <w:r>
        <w:br/>
      </w:r>
      <w:r>
        <w:rPr>
          <w:rStyle w:val="VerbatimChar"/>
        </w:rPr>
        <w:t xml:space="preserve">│   ├── ChartCard.tsx                ← container wrapper for every chart</w:t>
      </w:r>
      <w:r>
        <w:br/>
      </w:r>
      <w:r>
        <w:rPr>
          <w:rStyle w:val="VerbatimChar"/>
        </w:rPr>
        <w:t xml:space="preserve">│   ├── InsightCard.tsx              ← summary tiles below the charts</w:t>
      </w:r>
      <w:r>
        <w:br/>
      </w:r>
      <w:r>
        <w:rPr>
          <w:rStyle w:val="VerbatimChar"/>
        </w:rPr>
        <w:t xml:space="preserve">│   └── LeagueAgreementChart.tsx     ← the pivot chart with internal state</w:t>
      </w:r>
      <w:r>
        <w:br/>
      </w:r>
      <w:r>
        <w:rPr>
          <w:rStyle w:val="VerbatimChar"/>
        </w:rPr>
        <w:t xml:space="preserve">└── tabs/</w:t>
      </w:r>
      <w:r>
        <w:br/>
      </w:r>
      <w:r>
        <w:rPr>
          <w:rStyle w:val="VerbatimChar"/>
        </w:rPr>
        <w:t xml:space="preserve">    └── AnalyticsTab.tsx             ← UPDATED: real implementation</w:t>
      </w:r>
    </w:p>
    <w:bookmarkEnd w:id="14"/>
    <w:bookmarkStart w:id="15" w:name="new-reactnext.js-concepts-introduced"/>
    <w:p>
      <w:pPr>
        <w:pStyle w:val="Heading2"/>
      </w:pPr>
      <w:r>
        <w:t xml:space="preserve">New React/Next.js concepts introduced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Render-prop / children-as-elements</w:t>
      </w:r>
      <w:r>
        <w:t xml:space="preserve"> </w:t>
      </w:r>
      <w:r>
        <w:t xml:space="preserve">with Recharts.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&lt;ResponsiveContainer&gt;</w:t>
      </w:r>
      <w:r>
        <w:t xml:space="preserve"> </w:t>
      </w:r>
      <w:r>
        <w:t xml:space="preserve">— the only way to size a chart in a flexible layout.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Component-local state</w:t>
      </w:r>
      <w:r>
        <w:t xml:space="preserve"> </w:t>
      </w:r>
      <w:r>
        <w:t xml:space="preserve">for UI-only toggles inside a chart.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Tree-shakable Recharts imports</w:t>
      </w:r>
      <w:r>
        <w:t xml:space="preserve"> </w:t>
      </w:r>
      <w:r>
        <w:t xml:space="preserve">(only the bits you use).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Conditional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&lt;Bar&gt;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</w:t>
      </w:r>
      <w:r>
        <w:t xml:space="preserve"> </w:t>
      </w:r>
      <w:r>
        <w:t xml:space="preserve">based on data state.</w:t>
      </w:r>
    </w:p>
    <w:bookmarkEnd w:id="15"/>
    <w:bookmarkStart w:id="16" w:name="how-long-it-should-take"/>
    <w:p>
      <w:pPr>
        <w:pStyle w:val="Heading2"/>
      </w:pPr>
      <w:r>
        <w:t xml:space="preserve">How long it should take</w:t>
      </w:r>
    </w:p>
    <w:p>
      <w:pPr>
        <w:pStyle w:val="Compact"/>
        <w:numPr>
          <w:ilvl w:val="0"/>
          <w:numId w:val="1004"/>
        </w:numPr>
      </w:pPr>
      <w:r>
        <w:t xml:space="preserve">30–45 min reading per lesson</w:t>
      </w:r>
    </w:p>
    <w:p>
      <w:pPr>
        <w:pStyle w:val="Compact"/>
        <w:numPr>
          <w:ilvl w:val="0"/>
          <w:numId w:val="1004"/>
        </w:numPr>
      </w:pPr>
      <w:r>
        <w:t xml:space="preserve">1.5–2 hours typing the code</w:t>
      </w:r>
    </w:p>
    <w:p>
      <w:pPr>
        <w:pStyle w:val="Compact"/>
        <w:numPr>
          <w:ilvl w:val="0"/>
          <w:numId w:val="1004"/>
        </w:numPr>
      </w:pPr>
      <w:r>
        <w:t xml:space="preserve">~4 hours total</w:t>
      </w:r>
    </w:p>
    <w:bookmarkEnd w:id="16"/>
    <w:bookmarkStart w:id="17" w:name="why-charting-deserves-its-own-chapter"/>
    <w:p>
      <w:pPr>
        <w:pStyle w:val="Heading2"/>
      </w:pPr>
      <w:r>
        <w:t xml:space="preserve">Why charting deserves its own chapter</w:t>
      </w:r>
    </w:p>
    <w:p>
      <w:pPr>
        <w:pStyle w:val="FirstParagraph"/>
      </w:pPr>
      <w:r>
        <w:t xml:space="preserve">Three reasons: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Every senior interview eventually asks</w:t>
      </w:r>
      <w:r>
        <w:rPr>
          <w:b/>
          <w:bCs/>
        </w:rPr>
        <w:t xml:space="preserve"> </w:t>
      </w:r>
      <w:r>
        <w:rPr>
          <w:b/>
          <w:bCs/>
        </w:rPr>
        <w:t xml:space="preserve">“build me a dashboard.”</w:t>
      </w:r>
      <w:r>
        <w:t xml:space="preserve"> </w:t>
      </w:r>
      <w:r>
        <w:t xml:space="preserve">Knowing how to wire a charting library to live data without copy-paste-driven panic is a core senior skill.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Most beginners learn one chart library by rote and then crumble when they switch.</w:t>
      </w:r>
      <w:r>
        <w:t xml:space="preserve"> </w:t>
      </w:r>
      <w:r>
        <w:t xml:space="preserve">The mental model in this chapter (</w:t>
      </w:r>
      <w:r>
        <w:t xml:space="preserve">“data shape, not library”</w:t>
      </w:r>
      <w:r>
        <w:t xml:space="preserve">) transfers directly to D3, Victory, Visx, Plotly, anything.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Charts force you to confront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transforms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.reduce()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.filter()</w:t>
      </w:r>
      <w:r>
        <w:t xml:space="preserve"> </w:t>
      </w:r>
      <w:r>
        <w:t xml:space="preserve">— at scale. The data-shaping muscles built here are useful far beyond charting.</w:t>
      </w:r>
    </w:p>
    <w:bookmarkEnd w:id="17"/>
    <w:bookmarkStart w:id="18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should have:</w:t>
      </w:r>
    </w:p>
    <w:p>
      <w:pPr>
        <w:pStyle w:val="Compact"/>
        <w:numPr>
          <w:ilvl w:val="0"/>
          <w:numId w:val="1006"/>
        </w:numPr>
      </w:pPr>
      <w:r>
        <w:t xml:space="preserve">Chapter 5 complete: Players tab and PlayerDetail working.</w:t>
      </w:r>
    </w:p>
    <w:p>
      <w:pPr>
        <w:pStyle w:val="Compact"/>
        <w:numPr>
          <w:ilvl w:val="0"/>
          <w:numId w:val="1006"/>
        </w:numPr>
      </w:pPr>
      <w:r>
        <w:t xml:space="preserve">All tabs except Analytics rendering real content.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recharts</w:t>
      </w:r>
      <w:r>
        <w:t xml:space="preserve"> </w:t>
      </w:r>
      <w:r>
        <w:t xml:space="preserve">already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(Chapter 2 set it up).</w:t>
      </w:r>
    </w:p>
    <w:p>
      <w:pPr>
        <w:pStyle w:val="FirstParagraph"/>
      </w:pPr>
      <w:r>
        <w:t xml:space="preserve">Open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01-recharts-fundamentals.md</w:t>
        </w:r>
      </w:hyperlink>
      <w:r>
        <w:t xml:space="preserve">.</w:t>
      </w:r>
    </w:p>
    <w:bookmarkEnd w:id="18"/>
    <w:bookmarkEnd w:id="19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recharts-fundamentals.md" TargetMode="External" /><Relationship Type="http://schemas.openxmlformats.org/officeDocument/2006/relationships/hyperlink" Id="rId11" Target="./02-reshaping-data.md" TargetMode="External" /><Relationship Type="http://schemas.openxmlformats.org/officeDocument/2006/relationships/hyperlink" Id="rId12" Target="./03-pivots-and-internal-st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recharts-fundamentals.md" TargetMode="External" /><Relationship Type="http://schemas.openxmlformats.org/officeDocument/2006/relationships/hyperlink" Id="rId11" Target="./02-reshaping-data.md" TargetMode="External" /><Relationship Type="http://schemas.openxmlformats.org/officeDocument/2006/relationships/hyperlink" Id="rId12" Target="./03-pivots-and-internal-st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 — Data Visualization</dc:title>
  <dc:creator/>
  <cp:keywords/>
  <dcterms:created xsi:type="dcterms:W3CDTF">2026-05-12T02:34:20Z</dcterms:created>
  <dcterms:modified xsi:type="dcterms:W3CDTF">2026-05-12T02:34:20Z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