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 — Vibe-Coding and Prompt Mastery</w:t>
      </w:r>
    </w:p>
    <w:bookmarkStart w:id="17" w:name="chapter-3-vibe-coding-and-prompt-mastery"/>
    <w:p>
      <w:pPr>
        <w:pStyle w:val="Heading1"/>
      </w:pPr>
      <w:r>
        <w:t xml:space="preserve">Chapter 3 — Vibe-Coding and Prompt Mastery</w:t>
      </w:r>
    </w:p>
    <w:p>
      <w:pPr>
        <w:pStyle w:val="BlockText"/>
      </w:pPr>
      <w:r>
        <w:rPr>
          <w:b/>
          <w:bCs/>
        </w:rPr>
        <w:t xml:space="preserve">The interviewer can tell within five lines of a prompt whether you respect the craft of prompting or treat it as a magic spell.</w:t>
      </w:r>
      <w:r>
        <w:t xml:space="preserve"> </w:t>
      </w:r>
      <w:r>
        <w:t xml:space="preserve">This chapter teaches you to demonstrate the craft.</w:t>
      </w:r>
    </w:p>
    <w:bookmarkStart w:id="9" w:name="what-you-will-learn"/>
    <w:p>
      <w:pPr>
        <w:pStyle w:val="Heading2"/>
      </w:pPr>
      <w:r>
        <w:t xml:space="preserve">What you will learn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anatomy of a production-grade prompt</w:t>
      </w:r>
      <w:r>
        <w:t xml:space="preserve"> </w:t>
      </w:r>
      <w:r>
        <w:t xml:space="preserve">— six components that turn vague asks into shippable diffs.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Twelve reusable prompt patterns</w:t>
      </w:r>
      <w:r>
        <w:t xml:space="preserve"> </w:t>
      </w:r>
      <w:r>
        <w:t xml:space="preserve">that produced this entire portfolio project. Steal them.</w:t>
      </w:r>
    </w:p>
    <w:p>
      <w:pPr>
        <w:pStyle w:val="Compact"/>
        <w:numPr>
          <w:ilvl w:val="0"/>
          <w:numId w:val="1001"/>
        </w:numPr>
      </w:pPr>
      <w:r>
        <w:t xml:space="preserve">The art of</w:t>
      </w:r>
      <w:r>
        <w:t xml:space="preserve"> </w:t>
      </w:r>
      <w:r>
        <w:rPr>
          <w:b/>
          <w:bCs/>
        </w:rPr>
        <w:t xml:space="preserve">rejecting AI output</w:t>
      </w:r>
      <w:r>
        <w:t xml:space="preserve"> </w:t>
      </w:r>
      <w:r>
        <w:t xml:space="preserve">— when to push back, when to rewrite, and when to throw the diff out and start over.</w:t>
      </w:r>
    </w:p>
    <w:p>
      <w:pPr>
        <w:pStyle w:val="FirstParagraph"/>
      </w:pPr>
      <w:r>
        <w:t xml:space="preserve">By the end you will be able to:</w:t>
      </w:r>
    </w:p>
    <w:p>
      <w:pPr>
        <w:pStyle w:val="Compact"/>
        <w:numPr>
          <w:ilvl w:val="0"/>
          <w:numId w:val="1002"/>
        </w:numPr>
      </w:pPr>
      <w:r>
        <w:t xml:space="preserve">Walk an interviewer through a real prompt of yours and explain why each piece is there.</w:t>
      </w:r>
    </w:p>
    <w:p>
      <w:pPr>
        <w:pStyle w:val="Compact"/>
        <w:numPr>
          <w:ilvl w:val="0"/>
          <w:numId w:val="1002"/>
        </w:numPr>
      </w:pPr>
      <w:r>
        <w:t xml:space="preserve">Drop into a live coding interview that requires AI use and look like you have done it 1,000 times.</w:t>
      </w:r>
    </w:p>
    <w:p>
      <w:pPr>
        <w:pStyle w:val="Compact"/>
        <w:numPr>
          <w:ilvl w:val="0"/>
          <w:numId w:val="1002"/>
        </w:numPr>
      </w:pPr>
      <w:r>
        <w:t xml:space="preserve">Defend your code review of AI output with a vocabulary the panel will recognize.</w:t>
      </w:r>
    </w:p>
    <w:bookmarkEnd w:id="9"/>
    <w:bookmarkStart w:id="13" w:name="lessons"/>
    <w:p>
      <w:pPr>
        <w:pStyle w:val="Heading2"/>
      </w:pPr>
      <w:r>
        <w:t xml:space="preserve">Lessons</w:t>
      </w:r>
    </w:p>
    <w:p>
      <w:pPr>
        <w:pStyle w:val="Compact"/>
        <w:numPr>
          <w:ilvl w:val="0"/>
          <w:numId w:val="1003"/>
        </w:numPr>
      </w:pPr>
      <w:hyperlink r:id="rId10">
        <w:r>
          <w:rPr>
            <w:rStyle w:val="Hyperlink"/>
            <w:b/>
            <w:bCs/>
          </w:rPr>
          <w:t xml:space="preserve">01-anatomy-of-a-prompt.md</w:t>
        </w:r>
      </w:hyperlink>
      <w:r>
        <w:t xml:space="preserve"> </w:t>
      </w:r>
      <w:r>
        <w:t xml:space="preserve">— The six-part structure. Verb, deliverable, constraints, context, failure modes, format. Examples drawn from real prompts.</w:t>
      </w:r>
    </w:p>
    <w:p>
      <w:pPr>
        <w:pStyle w:val="Compact"/>
        <w:numPr>
          <w:ilvl w:val="0"/>
          <w:numId w:val="1003"/>
        </w:numPr>
      </w:pPr>
      <w:hyperlink r:id="rId11">
        <w:r>
          <w:rPr>
            <w:rStyle w:val="Hyperlink"/>
            <w:b/>
            <w:bCs/>
          </w:rPr>
          <w:t xml:space="preserve">02-the-twelve-patterns.md</w:t>
        </w:r>
      </w:hyperlink>
      <w:r>
        <w:t xml:space="preserve"> </w:t>
      </w:r>
      <w:r>
        <w:t xml:space="preserve">— A library of 12 templates: project-shaping, data-modeling, pure-logic, first-component, progressive enhancement, refactor, debug, test, design, doc-writer, prompt-improver, post-mortem.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  <w:b/>
            <w:bCs/>
          </w:rPr>
          <w:t xml:space="preserve">03-rejecting-ai-output.md</w:t>
        </w:r>
      </w:hyperlink>
      <w:r>
        <w:t xml:space="preserve"> </w:t>
      </w:r>
      <w:r>
        <w:t xml:space="preserve">— The five reasons to reject a diff, the four signals that a prompt is wrong (not the model), and how to talk about rejection in interviews without sounding negative.</w:t>
      </w:r>
    </w:p>
    <w:bookmarkEnd w:id="13"/>
    <w:bookmarkStart w:id="14" w:name="how-long-it-should-take"/>
    <w:p>
      <w:pPr>
        <w:pStyle w:val="Heading2"/>
      </w:pPr>
      <w:r>
        <w:t xml:space="preserve">How long it should take</w:t>
      </w:r>
    </w:p>
    <w:p>
      <w:pPr>
        <w:pStyle w:val="Compact"/>
        <w:numPr>
          <w:ilvl w:val="0"/>
          <w:numId w:val="1004"/>
        </w:numPr>
      </w:pPr>
      <w:r>
        <w:t xml:space="preserve">30–45 min reading per lesson.</w:t>
      </w:r>
    </w:p>
    <w:p>
      <w:pPr>
        <w:pStyle w:val="Compact"/>
        <w:numPr>
          <w:ilvl w:val="0"/>
          <w:numId w:val="1004"/>
        </w:numPr>
      </w:pPr>
      <w:r>
        <w:t xml:space="preserve">1–2 hours practicing the patterns on your own codebase.</w:t>
      </w:r>
    </w:p>
    <w:p>
      <w:pPr>
        <w:pStyle w:val="Compact"/>
        <w:numPr>
          <w:ilvl w:val="0"/>
          <w:numId w:val="1004"/>
        </w:numPr>
      </w:pPr>
      <w:r>
        <w:t xml:space="preserve">~5 hours total.</w:t>
      </w:r>
    </w:p>
    <w:bookmarkEnd w:id="14"/>
    <w:bookmarkStart w:id="15" w:name="why-prompt-mastery-matters-in-interviews"/>
    <w:p>
      <w:pPr>
        <w:pStyle w:val="Heading2"/>
      </w:pPr>
      <w:r>
        <w:t xml:space="preserve">Why prompt mastery matters in interviews</w:t>
      </w:r>
    </w:p>
    <w:p>
      <w:pPr>
        <w:pStyle w:val="FirstParagraph"/>
      </w:pPr>
      <w:r>
        <w:t xml:space="preserve">Interviewers in 2026 increasingly ask:</w:t>
      </w:r>
      <w:r>
        <w:t xml:space="preserve"> </w:t>
      </w:r>
      <w:r>
        <w:rPr>
          <w:i/>
          <w:iCs/>
        </w:rPr>
        <w:t xml:space="preserve">“Show me a prompt you used recently.”</w:t>
      </w:r>
      <w:r>
        <w:t xml:space="preserve"> </w:t>
      </w:r>
      <w:r>
        <w:t xml:space="preserve">They are checking three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Specificity</w:t>
      </w:r>
      <w:r>
        <w:t xml:space="preserve"> </w:t>
      </w:r>
      <w:r>
        <w:t xml:space="preserve">— does the prompt state what you want, or does it pray?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Constraints</w:t>
      </w:r>
      <w:r>
        <w:t xml:space="preserve"> </w:t>
      </w:r>
      <w:r>
        <w:t xml:space="preserve">— does it tell the model what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to do?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Context</w:t>
      </w:r>
      <w:r>
        <w:t xml:space="preserve"> </w:t>
      </w:r>
      <w:r>
        <w:t xml:space="preserve">— does it reference your codebase, or does it ask in a vacuum?</w:t>
      </w:r>
    </w:p>
    <w:p>
      <w:pPr>
        <w:pStyle w:val="FirstParagraph"/>
      </w:pPr>
      <w:r>
        <w:t xml:space="preserve">A bad prompt looks like</w:t>
      </w:r>
      <w:r>
        <w:t xml:space="preserve"> </w:t>
      </w:r>
      <w:r>
        <w:rPr>
          <w:i/>
          <w:iCs/>
        </w:rPr>
        <w:t xml:space="preserve">“can you make a button component?”</w:t>
      </w:r>
      <w:r>
        <w:t xml:space="preserve"> </w:t>
      </w:r>
      <w:r>
        <w:t xml:space="preserve">A good prompt looks like</w:t>
      </w:r>
      <w:r>
        <w:t xml:space="preserve"> </w:t>
      </w:r>
      <w:r>
        <w:rPr>
          <w:i/>
          <w:iCs/>
        </w:rPr>
        <w:t xml:space="preserve">“Generate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&lt;PrimaryButton&gt;</w:t>
      </w:r>
      <w:r>
        <w:rPr>
          <w:i/>
          <w:iCs/>
        </w:rPr>
        <w:t xml:space="preserve"> </w:t>
      </w:r>
      <w:r>
        <w:rPr>
          <w:i/>
          <w:iCs/>
        </w:rPr>
        <w:t xml:space="preserve">React component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components/ui/</w:t>
      </w:r>
      <w:r>
        <w:rPr>
          <w:i/>
          <w:iCs/>
        </w:rPr>
        <w:t xml:space="preserve">. Props: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children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onClick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disabled</w:t>
      </w:r>
      <w:r>
        <w:rPr>
          <w:i/>
          <w:iCs/>
        </w:rPr>
        <w:t xml:space="preserve">. Use the existing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cn()</w:t>
      </w:r>
      <w:r>
        <w:rPr>
          <w:i/>
          <w:iCs/>
        </w:rPr>
        <w:t xml:space="preserve"> </w:t>
      </w:r>
      <w:r>
        <w:rPr>
          <w:i/>
          <w:iCs/>
        </w:rPr>
        <w:t xml:space="preserve">utility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lib/utils.ts</w:t>
      </w:r>
      <w:r>
        <w:rPr>
          <w:i/>
          <w:iCs/>
        </w:rPr>
        <w:t xml:space="preserve"> </w:t>
      </w:r>
      <w:r>
        <w:rPr>
          <w:i/>
          <w:iCs/>
        </w:rPr>
        <w:t xml:space="preserve">to merge Tailwind classes. Match the styling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&lt;SecondaryButton&gt;</w:t>
      </w:r>
      <w:r>
        <w:rPr>
          <w:i/>
          <w:iCs/>
        </w:rPr>
        <w:t xml:space="preserve"> </w:t>
      </w:r>
      <w:r>
        <w:rPr>
          <w:i/>
          <w:iCs/>
        </w:rPr>
        <w:t xml:space="preserve">in the same folder. Do not introduce new dependencies.”</w:t>
      </w:r>
    </w:p>
    <w:p>
      <w:pPr>
        <w:pStyle w:val="BodyText"/>
      </w:pPr>
      <w:r>
        <w:t xml:space="preserve">After this chapter, your prompts will all look like the second one.</w:t>
      </w:r>
    </w:p>
    <w:bookmarkEnd w:id="15"/>
    <w:bookmarkStart w:id="16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should have:</w:t>
      </w:r>
    </w:p>
    <w:p>
      <w:pPr>
        <w:pStyle w:val="Compact"/>
        <w:numPr>
          <w:ilvl w:val="0"/>
          <w:numId w:val="1006"/>
        </w:numPr>
      </w:pPr>
      <w:r>
        <w:t xml:space="preserve">Chapter 1 and 2 completed (the vocabulary and framework).</w:t>
      </w:r>
    </w:p>
    <w:p>
      <w:pPr>
        <w:pStyle w:val="Compact"/>
        <w:numPr>
          <w:ilvl w:val="0"/>
          <w:numId w:val="1006"/>
        </w:numPr>
      </w:pPr>
      <w:r>
        <w:t xml:space="preserve">An IDE open with your portfolio project.</w:t>
      </w:r>
    </w:p>
    <w:p>
      <w:pPr>
        <w:pStyle w:val="Compact"/>
        <w:numPr>
          <w:ilvl w:val="0"/>
          <w:numId w:val="1006"/>
        </w:numPr>
      </w:pPr>
      <w:r>
        <w:t xml:space="preserve">A real AI tool you can prompt while reading.</w:t>
      </w:r>
    </w:p>
    <w:p>
      <w:pPr>
        <w:pStyle w:val="FirstParagraph"/>
      </w:pPr>
      <w:r>
        <w:t xml:space="preserve">The lessons are interactive — you will be writing prompts as you read.</w:t>
      </w:r>
    </w:p>
    <w:p>
      <w:pPr>
        <w:pStyle w:val="BodyText"/>
      </w:pPr>
      <w:r>
        <w:t xml:space="preserve">Open</w:t>
      </w:r>
      <w:r>
        <w:t xml:space="preserve"> </w:t>
      </w:r>
      <w:hyperlink r:id="rId10">
        <w:r>
          <w:rPr>
            <w:rStyle w:val="Hyperlink"/>
            <w:b/>
            <w:bCs/>
          </w:rPr>
          <w:t xml:space="preserve">01-anatomy-of-a-prompt.md</w:t>
        </w:r>
      </w:hyperlink>
      <w:r>
        <w:t xml:space="preserve">.</w:t>
      </w:r>
    </w:p>
    <w:bookmarkEnd w:id="16"/>
    <w:bookmarkEnd w:id="17"/>
    <w:sectPr>
      <w:footnotePr>
        <w:numRestart w:val="eachSect"/>
      </w:footnote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336" w:lineRule="auto"/>
    </w:pPr>
    <w:rPr>
      <w:rFonts w:ascii="Roboto" w:cs="Roboto" w:eastAsia="Roboto" w:hAnsi="Roboto"/>
      <w:color w:val="1A1A1A"/>
      <w:sz w:val="28"/>
    </w:rPr>
  </w:style>
  <w:style w:styleId="BodyText" w:type="paragraph">
    <w:name w:val="Body Text"/>
    <w:basedOn w:val="Normal"/>
    <w:link w:val="BodyTextChar"/>
    <w:qFormat/>
    <w:pPr>
      <w:spacing w:after="80" w:before="180" w:line="324" w:lineRule="auto"/>
    </w:pPr>
    <w:rPr>
      <w:rFonts w:ascii="Roboto" w:cs="Roboto" w:eastAsia="Roboto" w:hAnsi="Roboto"/>
      <w:color w:val="1A1A1A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80" w:line="324" w:lineRule="auto"/>
    </w:pPr>
    <w:rPr>
      <w:rFonts w:ascii="Roboto" w:cs="Roboto" w:eastAsia="Roboto" w:hAnsi="Roboto"/>
      <w:color w:val="1A1A1A"/>
      <w:sz w:val="28"/>
    </w:rPr>
  </w:style>
  <w:style w:customStyle="1" w:styleId="Compact" w:type="paragraph">
    <w:name w:val="Compact"/>
    <w:basedOn w:val="BodyText"/>
    <w:qFormat/>
    <w:pPr>
      <w:spacing w:after="80" w:before="36" w:line="324" w:lineRule="auto"/>
    </w:pPr>
    <w:rPr>
      <w:rFonts w:ascii="Roboto" w:cs="Roboto" w:eastAsia="Roboto" w:hAnsi="Roboto"/>
      <w:color w:val="1A1A1A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0" w:line="276" w:lineRule="auto"/>
      <w:contextualSpacing/>
      <w:jc w:val="center"/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7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480" w:line="288" w:lineRule="auto"/>
    </w:pPr>
    <w:rPr>
      <w:rFonts w:ascii="Roboto" w:cs="Roboto" w:cstheme="majorBidi" w:eastAsia="Roboto" w:eastAsiaTheme="majorEastAsia" w:hAnsi="Roboto"/>
      <w:i w:val="0"/>
      <w:color w:val="555555"/>
      <w:spacing w:val="15"/>
      <w:sz w:val="4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40" w:before="480" w:line="276" w:lineRule="auto"/>
      <w:outlineLvl w:val="0"/>
      <w:pBdr>
        <w:bottom w:color="DDE6F0" w:space="4" w:sz="6" w:val="single"/>
      </w:pBdr>
    </w:pPr>
    <w:rPr>
      <w:rFonts w:ascii="Roboto" w:asciiTheme="majorHAnsi" w:cs="Roboto" w:cstheme="majorBidi" w:eastAsia="Roboto" w:eastAsiaTheme="majorEastAsia" w:hAnsi="Roboto" w:hAnsiTheme="majorHAnsi"/>
      <w:b/>
      <w:color w:val="1F3A5F"/>
      <w:sz w:val="5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60" w:before="400" w:line="276" w:lineRule="auto"/>
      <w:outlineLvl w:val="1"/>
    </w:pPr>
    <w:rPr>
      <w:rFonts w:ascii="Roboto" w:asciiTheme="majorHAnsi" w:cs="Roboto" w:cstheme="majorBidi" w:eastAsia="Roboto" w:eastAsiaTheme="majorEastAsia" w:hAnsi="Roboto" w:hAnsiTheme="majorHAnsi"/>
      <w:b/>
      <w:color w:val="2E5A88"/>
      <w:sz w:val="4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80" w:line="288" w:lineRule="auto"/>
      <w:outlineLvl w:val="2"/>
    </w:pPr>
    <w:rPr>
      <w:rFonts w:ascii="Roboto" w:cs="Roboto" w:cstheme="majorBidi" w:eastAsia="Roboto" w:eastAsiaTheme="majorEastAsia" w:hAnsi="Roboto"/>
      <w:b/>
      <w:color w:val="3D7AB8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 w:line="288" w:lineRule="auto"/>
      <w:outlineLvl w:val="3"/>
    </w:pPr>
    <w:rPr>
      <w:rFonts w:ascii="Roboto" w:cs="Roboto" w:cstheme="majorBidi" w:eastAsia="Roboto" w:eastAsiaTheme="majorEastAsia" w:hAnsi="Roboto"/>
      <w:b/>
      <w:i/>
      <w:iCs/>
      <w:color w:val="5A5A5A"/>
      <w:sz w:val="3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60"/>
      <w:outlineLvl w:val="4"/>
    </w:pPr>
    <w:rPr>
      <w:rFonts w:ascii="Roboto" w:cs="Roboto" w:cstheme="majorBidi" w:eastAsia="Roboto" w:eastAsiaTheme="majorEastAsia" w:hAnsi="Roboto"/>
      <w:b/>
      <w:i/>
      <w:color w:val="5A5A5A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120"/>
      <w:outlineLvl w:val="5"/>
    </w:pPr>
    <w:rPr>
      <w:rFonts w:ascii="Roboto" w:cs="Roboto" w:cstheme="majorBidi" w:eastAsia="Roboto" w:eastAsiaTheme="majorEastAsia" w:hAnsi="Roboto"/>
      <w:i/>
      <w:iCs/>
      <w:color w:val="5A5A5A"/>
      <w:sz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Roboto" w:cs="Roboto" w:eastAsia="Roboto" w:hAnsi="Roboto"/>
      <w:i/>
      <w:color w:val="555555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Roboto Mono" w:cs="Roboto Mono" w:eastAsia="Roboto Mono" w:hAnsi="Roboto Mono"/>
      <w:color w:val="1F3A5F"/>
      <w:sz w:val="2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Roboto" w:cs="Roboto" w:eastAsia="Roboto" w:hAnsi="Roboto"/>
      <w:color w:val="2E5A8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Roboto" w:asciiTheme="majorHAnsi" w:cs="Roboto" w:cstheme="majorBidi" w:eastAsia="Roboto" w:eastAsiaTheme="majorEastAsia" w:hAnsi="Roboto" w:hAnsiTheme="majorHAnsi"/>
      <w:b w:val="0"/>
      <w:bCs w:val="0"/>
      <w:color w:val="555555"/>
    </w:rPr>
  </w:style>
  <w:style w:customStyle="1" w:styleId="SourceCode" w:type="paragraph">
    <w:name w:val="Source Code"/>
    <w:pPr>
      <w:spacing w:after="80" w:before="80" w:line="300" w:lineRule="auto"/>
      <w:shd w:color="auto" w:fill="F4F4F4" w:val="clear"/>
    </w:pPr>
    <w:rPr>
      <w:rFonts w:ascii="Roboto Mono" w:cs="Roboto Mono" w:eastAsia="Roboto Mono" w:hAnsi="Roboto Mono"/>
      <w:color w:val="1A1A1A"/>
      <w:sz w:val="24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01-anatomy-of-a-prompt.md" TargetMode="External" /><Relationship Type="http://schemas.openxmlformats.org/officeDocument/2006/relationships/hyperlink" Id="rId11" Target="./02-the-twelve-patterns.md" TargetMode="External" /><Relationship Type="http://schemas.openxmlformats.org/officeDocument/2006/relationships/hyperlink" Id="rId12" Target="./03-rejecting-ai-outpu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01-anatomy-of-a-prompt.md" TargetMode="External" /><Relationship Type="http://schemas.openxmlformats.org/officeDocument/2006/relationships/hyperlink" Id="rId11" Target="./02-the-twelve-patterns.md" TargetMode="External" /><Relationship Type="http://schemas.openxmlformats.org/officeDocument/2006/relationships/hyperlink" Id="rId12" Target="./03-rejecting-ai-outpu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 — Vibe-Coding and Prompt Mastery</dc:title>
  <dc:creator/>
  <cp:keywords/>
  <dcterms:created xsi:type="dcterms:W3CDTF">2026-05-12T02:39:50Z</dcterms:created>
  <dcterms:modified xsi:type="dcterms:W3CDTF">2026-05-12T02:39:50Z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