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Lesson 5.3 — Trade-off Conversations</w:t>
      </w:r>
    </w:p>
    <w:bookmarkStart w:id="60" w:name="lesson-5.3-trade-off-conversations"/>
    <w:p>
      <w:pPr>
        <w:pStyle w:val="Heading1"/>
      </w:pPr>
      <w:r>
        <w:t xml:space="preserve">Lesson 5.3 — Trade-off Conversations</w:t>
      </w:r>
    </w:p>
    <w:p>
      <w:pPr>
        <w:pStyle w:val="BlockText"/>
      </w:pPr>
      <w:r>
        <w:rPr>
          <w:b/>
          <w:bCs/>
        </w:rPr>
        <w:t xml:space="preserve">Every senior interview eventually becomes a trade-off conversation.</w:t>
      </w:r>
      <w:r>
        <w:t xml:space="preserve"> </w:t>
      </w:r>
      <w:r>
        <w:t xml:space="preserve">Not</w:t>
      </w:r>
      <w:r>
        <w:t xml:space="preserve"> </w:t>
      </w:r>
      <w:r>
        <w:t xml:space="preserve">“what would you build?”</w:t>
      </w:r>
      <w:r>
        <w:t xml:space="preserve"> </w:t>
      </w:r>
      <w:r>
        <w:t xml:space="preserve">— but</w:t>
      </w:r>
      <w:r>
        <w:t xml:space="preserve"> </w:t>
      </w:r>
      <w:r>
        <w:rPr>
          <w:i/>
          <w:iCs/>
        </w:rPr>
        <w:t xml:space="preserve">“why this and not that?”</w:t>
      </w:r>
      <w:r>
        <w:t xml:space="preserve"> </w:t>
      </w:r>
      <w:r>
        <w:t xml:space="preserve">This lesson teaches you the language, structure, and pitfalls of those conversations.</w:t>
      </w:r>
    </w:p>
    <w:p>
      <w:pPr>
        <w:pStyle w:val="FirstParagraph"/>
      </w:pPr>
      <w:r>
        <w:t xml:space="preserve">By the end of this lesson:</w:t>
      </w:r>
    </w:p>
    <w:p>
      <w:pPr>
        <w:pStyle w:val="Compact"/>
        <w:numPr>
          <w:ilvl w:val="0"/>
          <w:numId w:val="1001"/>
        </w:numPr>
      </w:pPr>
      <w:r>
        <w:t xml:space="preserve">You will have a five-step structure for any trade-off discussion.</w:t>
      </w:r>
    </w:p>
    <w:p>
      <w:pPr>
        <w:pStyle w:val="Compact"/>
        <w:numPr>
          <w:ilvl w:val="0"/>
          <w:numId w:val="1001"/>
        </w:numPr>
      </w:pPr>
      <w:r>
        <w:t xml:space="preserve">You will know the eight trade-off axes that show up in 95 percent of interviews.</w:t>
      </w:r>
    </w:p>
    <w:p>
      <w:pPr>
        <w:pStyle w:val="Compact"/>
        <w:numPr>
          <w:ilvl w:val="0"/>
          <w:numId w:val="1001"/>
        </w:numPr>
      </w:pPr>
      <w:r>
        <w:t xml:space="preserve">You will have memorable phrasing for the most common trade-off prompts.</w:t>
      </w:r>
    </w:p>
    <w:p>
      <w:pPr>
        <w:pStyle w:val="Compact"/>
        <w:numPr>
          <w:ilvl w:val="0"/>
          <w:numId w:val="1001"/>
        </w:numPr>
      </w:pPr>
      <w:r>
        <w:t xml:space="preserve">You will know the four traps that turn a good trade-off discussion into a bad one.</w:t>
      </w:r>
    </w:p>
    <w:p>
      <w:r>
        <w:pict>
          <v:rect style="width:0;height:1.5pt" o:hralign="center" o:hrstd="t" o:hr="t"/>
        </w:pict>
      </w:r>
    </w:p>
    <w:bookmarkStart w:id="9" w:name="X5a9345535698eacb613f8a98653bd9c9aced568"/>
    <w:p>
      <w:pPr>
        <w:pStyle w:val="Heading2"/>
      </w:pPr>
      <w:r>
        <w:t xml:space="preserve">1. Why interviewers love trade-off questions</w:t>
      </w:r>
    </w:p>
    <w:p>
      <w:pPr>
        <w:pStyle w:val="FirstParagraph"/>
      </w:pPr>
      <w:r>
        <w:t xml:space="preserve">Three reasons: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They reveal real judgment.</w:t>
      </w:r>
      <w:r>
        <w:t xml:space="preserve"> </w:t>
      </w:r>
      <w:r>
        <w:t xml:space="preserve">Anyone can recite</w:t>
      </w:r>
      <w:r>
        <w:t xml:space="preserve"> </w:t>
      </w:r>
      <w:r>
        <w:t xml:space="preserve">“always normalize.”</w:t>
      </w:r>
      <w:r>
        <w:t xml:space="preserve"> </w:t>
      </w:r>
      <w:r>
        <w:t xml:space="preserve">Only an experienced engineer can say</w:t>
      </w:r>
      <w:r>
        <w:t xml:space="preserve"> </w:t>
      </w:r>
      <w:r>
        <w:t xml:space="preserve">“in this case I’d denormalize because…”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They’re hard to fake.</w:t>
      </w:r>
      <w:r>
        <w:t xml:space="preserve"> </w:t>
      </w:r>
      <w:r>
        <w:t xml:space="preserve">AI can produce a design. AI cannot defend a design under cross-examination.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They scale across all levels.</w:t>
      </w:r>
      <w:r>
        <w:t xml:space="preserve"> </w:t>
      </w:r>
      <w:r>
        <w:t xml:space="preserve">Junior, mid, senior, staff — every level should be able to discuss trade-offs at the appropriate depth.</w:t>
      </w:r>
    </w:p>
    <w:p>
      <w:pPr>
        <w:pStyle w:val="FirstParagraph"/>
      </w:pPr>
      <w:r>
        <w:t xml:space="preserve">The right answer to almost every</w:t>
      </w:r>
      <w:r>
        <w:t xml:space="preserve"> </w:t>
      </w:r>
      <w:r>
        <w:t xml:space="preserve">“should we A or B?”</w:t>
      </w:r>
      <w:r>
        <w:t xml:space="preserve"> </w:t>
      </w:r>
      <w:r>
        <w:t xml:space="preserve">question is:</w:t>
      </w:r>
      <w:r>
        <w:t xml:space="preserve"> </w:t>
      </w:r>
      <w:r>
        <w:rPr>
          <w:b/>
          <w:bCs/>
        </w:rPr>
        <w:t xml:space="preserve">“It depends — here’s what it depends on.”</w:t>
      </w:r>
      <w:r>
        <w:t xml:space="preserve"> </w:t>
      </w:r>
      <w:r>
        <w:t xml:space="preserve">This lesson teaches you to fill in the rest of that sentence.</w:t>
      </w:r>
    </w:p>
    <w:p>
      <w:r>
        <w:pict>
          <v:rect style="width:0;height:1.5pt" o:hralign="center" o:hrstd="t" o:hr="t"/>
        </w:pict>
      </w:r>
    </w:p>
    <w:bookmarkEnd w:id="9"/>
    <w:bookmarkStart w:id="15" w:name="the-five-step-trade-off-structure"/>
    <w:p>
      <w:pPr>
        <w:pStyle w:val="Heading2"/>
      </w:pPr>
      <w:r>
        <w:t xml:space="preserve">2. The five-step trade-off structure</w:t>
      </w:r>
    </w:p>
    <w:p>
      <w:pPr>
        <w:pStyle w:val="FirstParagraph"/>
      </w:pPr>
      <w:r>
        <w:t xml:space="preserve">Every trade-off conversation should follow this structure. Memorize it. Drop into it on demand.</w:t>
      </w:r>
    </w:p>
    <w:bookmarkStart w:id="10" w:name="step-1-restate-the-choice"/>
    <w:p>
      <w:pPr>
        <w:pStyle w:val="Heading3"/>
      </w:pPr>
      <w:r>
        <w:t xml:space="preserve">Step 1 — Restate the choice</w:t>
      </w:r>
    </w:p>
    <w:p>
      <w:pPr>
        <w:pStyle w:val="BlockText"/>
      </w:pPr>
      <w:r>
        <w:rPr>
          <w:i/>
          <w:iCs/>
        </w:rPr>
        <w:t xml:space="preserve">“OK — the question is whether to use A or B for [purpose]. Let me make sure I understand both.”</w:t>
      </w:r>
    </w:p>
    <w:p>
      <w:pPr>
        <w:pStyle w:val="FirstParagraph"/>
      </w:pPr>
      <w:r>
        <w:t xml:space="preserve">This buys thinking time and confirms you understood the question.</w:t>
      </w:r>
    </w:p>
    <w:bookmarkEnd w:id="10"/>
    <w:bookmarkStart w:id="11" w:name="step-2-name-the-axes-that-matter"/>
    <w:p>
      <w:pPr>
        <w:pStyle w:val="Heading3"/>
      </w:pPr>
      <w:r>
        <w:t xml:space="preserve">Step 2 — Name the axes that matter</w:t>
      </w:r>
    </w:p>
    <w:p>
      <w:pPr>
        <w:pStyle w:val="BlockText"/>
      </w:pPr>
      <w:r>
        <w:rPr>
          <w:i/>
          <w:iCs/>
        </w:rPr>
        <w:t xml:space="preserve">“There are roughly four axes I’d evaluate this on: [axis 1], [axis 2], [axis 3], [axis 4].”</w:t>
      </w:r>
    </w:p>
    <w:p>
      <w:pPr>
        <w:pStyle w:val="FirstParagraph"/>
      </w:pPr>
      <w:r>
        <w:t xml:space="preserve">Naming axes is the single highest-leverage move in a trade-off discussion. It tells the interviewer: this person doesn’t just have opinions — they have a</w:t>
      </w:r>
      <w:r>
        <w:t xml:space="preserve"> </w:t>
      </w:r>
      <w:r>
        <w:rPr>
          <w:i/>
          <w:iCs/>
        </w:rPr>
        <w:t xml:space="preserve">framework</w:t>
      </w:r>
      <w:r>
        <w:t xml:space="preserve">.</w:t>
      </w:r>
    </w:p>
    <w:bookmarkEnd w:id="11"/>
    <w:bookmarkStart w:id="12" w:name="step-3-score-each-option-on-each-axis"/>
    <w:p>
      <w:pPr>
        <w:pStyle w:val="Heading3"/>
      </w:pPr>
      <w:r>
        <w:t xml:space="preserve">Step 3 — Score each option on each axis</w:t>
      </w:r>
    </w:p>
    <w:p>
      <w:pPr>
        <w:pStyle w:val="BlockText"/>
      </w:pPr>
      <w:r>
        <w:rPr>
          <w:i/>
          <w:iCs/>
        </w:rPr>
        <w:t xml:space="preserve">“On [axis 1], A wins because [reason]. On [axis 2], B wins because [reason]. On [axis 3], roughly equal. On [axis 4], it depends on [unknown].”</w:t>
      </w:r>
    </w:p>
    <w:p>
      <w:pPr>
        <w:pStyle w:val="FirstParagraph"/>
      </w:pPr>
      <w:r>
        <w:t xml:space="preserve">This is where you demonstrate that you can hold both options in your head fairly. Showing the AI’s bias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one option is a junior tell. Showing balanced analysis is a senior tell.</w:t>
      </w:r>
    </w:p>
    <w:bookmarkEnd w:id="12"/>
    <w:bookmarkStart w:id="13" w:name="X17811e3bd6a5a3d971cb85387381847386327e1"/>
    <w:p>
      <w:pPr>
        <w:pStyle w:val="Heading3"/>
      </w:pPr>
      <w:r>
        <w:t xml:space="preserve">Step 4 — Identify the deciding axis 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situation</w:t>
      </w:r>
    </w:p>
    <w:p>
      <w:pPr>
        <w:pStyle w:val="BlockText"/>
      </w:pPr>
      <w:r>
        <w:rPr>
          <w:i/>
          <w:iCs/>
        </w:rPr>
        <w:t xml:space="preserve">“Given the scenario you described — [specific constraint] — I’d weight [axis] highest, because [reason]. That tips the decision toward A.”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i/>
          <w:iCs/>
        </w:rPr>
        <w:t xml:space="preserve">judgment</w:t>
      </w:r>
      <w:r>
        <w:t xml:space="preserve"> </w:t>
      </w:r>
      <w:r>
        <w:t xml:space="preserve">moment. You name a constraint from the situation and use it to break the tie.</w:t>
      </w:r>
    </w:p>
    <w:bookmarkEnd w:id="13"/>
    <w:bookmarkStart w:id="14" w:name="X53ee36133aa1fa180bde61ff8f24094b8b8ed11"/>
    <w:p>
      <w:pPr>
        <w:pStyle w:val="Heading3"/>
      </w:pPr>
      <w:r>
        <w:t xml:space="preserve">Step 5 — State the decision and the reversibility</w:t>
      </w:r>
    </w:p>
    <w:p>
      <w:pPr>
        <w:pStyle w:val="BlockText"/>
      </w:pPr>
      <w:r>
        <w:rPr>
          <w:i/>
          <w:iCs/>
        </w:rPr>
        <w:t xml:space="preserve">“So I’d start with A. If [observable signal], I’d revisit and consider migrating to B. The migration would cost roughly [X], so the cost of being wrong is bounded.”</w:t>
      </w:r>
    </w:p>
    <w:p>
      <w:pPr>
        <w:pStyle w:val="FirstParagraph"/>
      </w:pPr>
      <w:r>
        <w:t xml:space="preserve">You named the decision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what would change your mind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what reversal would cost.</w:t>
      </w:r>
      <w:r>
        <w:t xml:space="preserve"> </w:t>
      </w:r>
      <w:r>
        <w:rPr>
          <w:b/>
          <w:bCs/>
        </w:rPr>
        <w:t xml:space="preserve">That last sentence is staff-level.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the-eight-axes-youll-keep-using"/>
    <w:p>
      <w:pPr>
        <w:pStyle w:val="Heading2"/>
      </w:pPr>
      <w:r>
        <w:t xml:space="preserve">3. The eight axes you’ll keep using</w:t>
      </w:r>
    </w:p>
    <w:p>
      <w:pPr>
        <w:pStyle w:val="FirstParagraph"/>
      </w:pPr>
      <w:r>
        <w:t xml:space="preserve">Across 95 percent of interview trade-offs, these eight axes show up. Memorize them. Use them by name.</w:t>
      </w:r>
    </w:p>
    <w:bookmarkStart w:id="16" w:name="latency"/>
    <w:p>
      <w:pPr>
        <w:pStyle w:val="Heading3"/>
      </w:pPr>
      <w:r>
        <w:t xml:space="preserve">3.1. Latency</w:t>
      </w:r>
    </w:p>
    <w:p>
      <w:pPr>
        <w:pStyle w:val="FirstParagraph"/>
      </w:pPr>
      <w:r>
        <w:t xml:space="preserve">How fast does the user-facing response come back? p50, p95, p99.</w:t>
      </w:r>
    </w:p>
    <w:bookmarkEnd w:id="16"/>
    <w:bookmarkStart w:id="17" w:name="throughput"/>
    <w:p>
      <w:pPr>
        <w:pStyle w:val="Heading3"/>
      </w:pPr>
      <w:r>
        <w:t xml:space="preserve">3.2. Throughput</w:t>
      </w:r>
    </w:p>
    <w:p>
      <w:pPr>
        <w:pStyle w:val="FirstParagraph"/>
      </w:pPr>
      <w:r>
        <w:t xml:space="preserve">How many operations per second can the system handle?</w:t>
      </w:r>
    </w:p>
    <w:bookmarkEnd w:id="17"/>
    <w:bookmarkStart w:id="18" w:name="cost"/>
    <w:p>
      <w:pPr>
        <w:pStyle w:val="Heading3"/>
      </w:pPr>
      <w:r>
        <w:t xml:space="preserve">3.3. Cost</w:t>
      </w:r>
    </w:p>
    <w:p>
      <w:pPr>
        <w:pStyle w:val="FirstParagraph"/>
      </w:pPr>
      <w:r>
        <w:t xml:space="preserve">Cloud bill. Engineer-hours. Both.</w:t>
      </w:r>
    </w:p>
    <w:bookmarkEnd w:id="18"/>
    <w:bookmarkStart w:id="19" w:name="complexity"/>
    <w:p>
      <w:pPr>
        <w:pStyle w:val="Heading3"/>
      </w:pPr>
      <w:r>
        <w:t xml:space="preserve">3.4. Complexity</w:t>
      </w:r>
    </w:p>
    <w:p>
      <w:pPr>
        <w:pStyle w:val="FirstParagraph"/>
      </w:pPr>
      <w:r>
        <w:t xml:space="preserve">How hard is this for the team to build, debug, and operate? Junior-friendly vs senior-only.</w:t>
      </w:r>
    </w:p>
    <w:bookmarkEnd w:id="19"/>
    <w:bookmarkStart w:id="20" w:name="reliability"/>
    <w:p>
      <w:pPr>
        <w:pStyle w:val="Heading3"/>
      </w:pPr>
      <w:r>
        <w:t xml:space="preserve">3.5. Reliability</w:t>
      </w:r>
    </w:p>
    <w:p>
      <w:pPr>
        <w:pStyle w:val="FirstParagraph"/>
      </w:pPr>
      <w:r>
        <w:t xml:space="preserve">What’s the failure surface? How often does it fall over? How fast does it recover?</w:t>
      </w:r>
    </w:p>
    <w:bookmarkEnd w:id="20"/>
    <w:bookmarkStart w:id="21" w:name="consistency"/>
    <w:p>
      <w:pPr>
        <w:pStyle w:val="Heading3"/>
      </w:pPr>
      <w:r>
        <w:t xml:space="preserve">3.6. Consistency</w:t>
      </w:r>
    </w:p>
    <w:p>
      <w:pPr>
        <w:pStyle w:val="FirstParagraph"/>
      </w:pPr>
      <w:r>
        <w:t xml:space="preserve">Strong, eventual, causal, monotonic. What’s the user-visible behavior under concurrent updates?</w:t>
      </w:r>
    </w:p>
    <w:bookmarkEnd w:id="21"/>
    <w:bookmarkStart w:id="22" w:name="flexibility-future-proofing"/>
    <w:p>
      <w:pPr>
        <w:pStyle w:val="Heading3"/>
      </w:pPr>
      <w:r>
        <w:t xml:space="preserve">3.7. Flexibility / future-proofing</w:t>
      </w:r>
    </w:p>
    <w:p>
      <w:pPr>
        <w:pStyle w:val="FirstParagraph"/>
      </w:pPr>
      <w:r>
        <w:t xml:space="preserve">How well does this design hold up as requirements change?</w:t>
      </w:r>
    </w:p>
    <w:bookmarkEnd w:id="22"/>
    <w:bookmarkStart w:id="23" w:name="time-to-ship"/>
    <w:p>
      <w:pPr>
        <w:pStyle w:val="Heading3"/>
      </w:pPr>
      <w:r>
        <w:t xml:space="preserve">3.8. Time to ship</w:t>
      </w:r>
    </w:p>
    <w:p>
      <w:pPr>
        <w:pStyle w:val="FirstParagraph"/>
      </w:pPr>
      <w:r>
        <w:t xml:space="preserve">How fast can we get a working version in front of users?</w:t>
      </w:r>
    </w:p>
    <w:p>
      <w:pPr>
        <w:pStyle w:val="BodyText"/>
      </w:pPr>
      <w:r>
        <w:t xml:space="preserve">When asked any</w:t>
      </w:r>
      <w:r>
        <w:t xml:space="preserve"> </w:t>
      </w:r>
      <w:r>
        <w:t xml:space="preserve">“A vs B”</w:t>
      </w:r>
      <w:r>
        <w:t xml:space="preserve"> </w:t>
      </w:r>
      <w:r>
        <w:t xml:space="preserve">question,</w:t>
      </w:r>
      <w:r>
        <w:t xml:space="preserve"> </w:t>
      </w:r>
      <w:r>
        <w:rPr>
          <w:b/>
          <w:bCs/>
        </w:rPr>
        <w:t xml:space="preserve">list which of these axes apply, then score on each</w:t>
      </w:r>
      <w:r>
        <w:t xml:space="preserve">. That structure alone elevates a vague debate into a senior conversation.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worked-examples-five-common-trade-offs"/>
    <w:p>
      <w:pPr>
        <w:pStyle w:val="Heading2"/>
      </w:pPr>
      <w:r>
        <w:t xml:space="preserve">4. Worked examples — five common trade-offs</w:t>
      </w:r>
    </w:p>
    <w:bookmarkStart w:id="25" w:name="sql-vs-nosql"/>
    <w:p>
      <w:pPr>
        <w:pStyle w:val="Heading3"/>
      </w:pPr>
      <w:r>
        <w:t xml:space="preserve">4.1. SQL vs NoSQL</w:t>
      </w:r>
    </w:p>
    <w:p>
      <w:pPr>
        <w:pStyle w:val="BlockText"/>
      </w:pPr>
      <w:r>
        <w:rPr>
          <w:i/>
          <w:iCs/>
        </w:rPr>
        <w:t xml:space="preserve">“Three axes matter. Consistency: SQL gives me ACID by default; NoSQL forces me to think about it harder. Flexibility: NoSQL handles schema evolution better; SQL fights you on every column add. Operational complexity: managed Postgres is dead simple; managed Mongo / DynamoDB has a steeper operational learning curve.</w:t>
      </w:r>
    </w:p>
    <w:p>
      <w:pPr>
        <w:pStyle w:val="BlockText"/>
      </w:pPr>
      <w:r>
        <w:rPr>
          <w:i/>
          <w:iCs/>
        </w:rPr>
        <w:t xml:space="preserve">For a fantasy sports app at our scale, I’d start with Postgres. The data is relational — users, picks, matches, scores — and the access patterns are well-known. The day we hit a hard ceiling on Postgres, we wouldn’t migrate to Mongo; we’d shard Postgres or move hot tables to a key-value store. Reversibility is high; lock-in to Postgres-isms can be controlled.”</w:t>
      </w:r>
    </w:p>
    <w:bookmarkEnd w:id="25"/>
    <w:bookmarkStart w:id="26" w:name="microservices-vs-monolith"/>
    <w:p>
      <w:pPr>
        <w:pStyle w:val="Heading3"/>
      </w:pPr>
      <w:r>
        <w:t xml:space="preserve">4.2. Microservices vs monolith</w:t>
      </w:r>
    </w:p>
    <w:p>
      <w:pPr>
        <w:pStyle w:val="BlockText"/>
      </w:pPr>
      <w:r>
        <w:rPr>
          <w:i/>
          <w:iCs/>
        </w:rPr>
        <w:t xml:space="preserve">“The honest answer is that almost everyone over-builds microservices. Monolith wins on time-to-ship, debugging, and team-cohesion-cost. Microservices win on independent deployment, language flexibility, and bounded blast radius — but only if you have the operational chops for them.</w:t>
      </w:r>
    </w:p>
    <w:p>
      <w:pPr>
        <w:pStyle w:val="BlockText"/>
      </w:pPr>
      <w:r>
        <w:rPr>
          <w:i/>
          <w:iCs/>
        </w:rPr>
        <w:t xml:space="preserve">I’d default to monolith for a team under 30 engineers. Above that, I’d start carving out the parts where independent deploy or different runtime make a real difference — usually the parts at the edge of the system, like ingress or fan-out workers. That’s pragmatic microservices, not the full lift.”</w:t>
      </w:r>
    </w:p>
    <w:bookmarkEnd w:id="26"/>
    <w:bookmarkStart w:id="27" w:name="Xe35c07ef454201fae6d11a6df4348fc61f8f3d8"/>
    <w:p>
      <w:pPr>
        <w:pStyle w:val="Heading3"/>
      </w:pPr>
      <w:r>
        <w:t xml:space="preserve">4.3. Server-side rendering vs client-side rendering</w:t>
      </w:r>
    </w:p>
    <w:p>
      <w:pPr>
        <w:pStyle w:val="BlockText"/>
      </w:pPr>
      <w:r>
        <w:rPr>
          <w:i/>
          <w:iCs/>
        </w:rPr>
        <w:t xml:space="preserve">“Three considerations: time-to-first-content, SEO, and runtime cost. SSR wins on TTFC and SEO. CSR wins on per-request server cost — once the JS is loaded, the client does the work.</w:t>
      </w:r>
    </w:p>
    <w:p>
      <w:pPr>
        <w:pStyle w:val="BlockText"/>
      </w:pPr>
      <w:r>
        <w:rPr>
          <w:i/>
          <w:iCs/>
        </w:rPr>
        <w:t xml:space="preserve">For a fantasy app, the leaderboard pages benefit from SSR — fast first paint, SEO for shareable URLs. The interactive parts — pick submission, real-time scoring — are CSR-driven. Modern frameworks (Next, Remix, SvelteKit) let me mix the two per route. I’d lean SSR-by-default, hydrate-when-needed.”</w:t>
      </w:r>
    </w:p>
    <w:bookmarkEnd w:id="27"/>
    <w:bookmarkStart w:id="28" w:name="build-vs-buy"/>
    <w:p>
      <w:pPr>
        <w:pStyle w:val="Heading3"/>
      </w:pPr>
      <w:r>
        <w:t xml:space="preserve">4.4. Build vs buy</w:t>
      </w:r>
    </w:p>
    <w:p>
      <w:pPr>
        <w:pStyle w:val="BlockText"/>
      </w:pPr>
      <w:r>
        <w:rPr>
          <w:i/>
          <w:iCs/>
        </w:rPr>
        <w:t xml:space="preserve">“The trap with</w:t>
      </w:r>
      <w:r>
        <w:rPr>
          <w:i/>
          <w:iCs/>
        </w:rPr>
        <w:t xml:space="preserve"> </w:t>
      </w:r>
      <w:r>
        <w:rPr>
          <w:i/>
          <w:iCs/>
        </w:rPr>
        <w:t xml:space="preserve">‘build vs buy’</w:t>
      </w:r>
      <w:r>
        <w:rPr>
          <w:i/>
          <w:iCs/>
        </w:rPr>
        <w:t xml:space="preserve"> </w:t>
      </w:r>
      <w:r>
        <w:rPr>
          <w:i/>
          <w:iCs/>
        </w:rPr>
        <w:t xml:space="preserve">is that engineers default to</w:t>
      </w:r>
      <w:r>
        <w:rPr>
          <w:i/>
          <w:iCs/>
        </w:rPr>
        <w:t xml:space="preserve"> </w:t>
      </w:r>
      <w:r>
        <w:rPr>
          <w:i/>
          <w:iCs/>
        </w:rPr>
        <w:t xml:space="preserve">‘build because we’ll customize it perfectly,’</w:t>
      </w:r>
      <w:r>
        <w:rPr>
          <w:i/>
          <w:iCs/>
        </w:rPr>
        <w:t xml:space="preserve"> </w:t>
      </w:r>
      <w:r>
        <w:rPr>
          <w:i/>
          <w:iCs/>
        </w:rPr>
        <w:t xml:space="preserve">and the customization never ends up mattering. The honest axis: how core is this to our differentiation?</w:t>
      </w:r>
    </w:p>
    <w:p>
      <w:pPr>
        <w:pStyle w:val="BlockText"/>
      </w:pPr>
      <w:r>
        <w:rPr>
          <w:i/>
          <w:iCs/>
        </w:rPr>
        <w:t xml:space="preserve">Auth: buy. Stripe / Clerk / Auth0 — never going to be our differentiator, the threat model is hard, every team that’s tried has regretted it.</w:t>
      </w:r>
    </w:p>
    <w:p>
      <w:pPr>
        <w:pStyle w:val="BlockText"/>
      </w:pPr>
      <w:r>
        <w:rPr>
          <w:i/>
          <w:iCs/>
        </w:rPr>
        <w:t xml:space="preserve">Scoring engine: build. It’s the heart of the product. We’ll iterate on it for years.</w:t>
      </w:r>
    </w:p>
    <w:p>
      <w:pPr>
        <w:pStyle w:val="BlockText"/>
      </w:pPr>
      <w:r>
        <w:rPr>
          <w:i/>
          <w:iCs/>
        </w:rPr>
        <w:t xml:space="preserve">Email delivery: buy. SendGrid / Postmark.</w:t>
      </w:r>
    </w:p>
    <w:p>
      <w:pPr>
        <w:pStyle w:val="BlockText"/>
      </w:pPr>
      <w:r>
        <w:rPr>
          <w:i/>
          <w:iCs/>
        </w:rPr>
        <w:t xml:space="preserve">General rule: buy commodity infrastructure, build domain logic.”</w:t>
      </w:r>
    </w:p>
    <w:bookmarkEnd w:id="28"/>
    <w:bookmarkStart w:id="29" w:name="cache-invalidation-strategy"/>
    <w:p>
      <w:pPr>
        <w:pStyle w:val="Heading3"/>
      </w:pPr>
      <w:r>
        <w:t xml:space="preserve">4.5. Cache invalidation strategy</w:t>
      </w:r>
    </w:p>
    <w:p>
      <w:pPr>
        <w:pStyle w:val="BlockText"/>
      </w:pPr>
      <w:r>
        <w:rPr>
          <w:i/>
          <w:iCs/>
        </w:rPr>
        <w:t xml:space="preserve">“Three options: time-based (TTL), event-based (invalidate on write), or version-based (key includes a version number).</w:t>
      </w:r>
    </w:p>
    <w:p>
      <w:pPr>
        <w:pStyle w:val="BlockText"/>
      </w:pPr>
      <w:r>
        <w:rPr>
          <w:i/>
          <w:iCs/>
        </w:rPr>
        <w:t xml:space="preserve">TTL is simplest but produces stale data. Event-based is most consistent but couples the writer to the cache (failure of the invalidation = silent stale data). Versioned keys are elegant but require global agreement on the version, which is hard.</w:t>
      </w:r>
    </w:p>
    <w:p>
      <w:pPr>
        <w:pStyle w:val="BlockText"/>
      </w:pPr>
      <w:r>
        <w:rPr>
          <w:i/>
          <w:iCs/>
        </w:rPr>
        <w:t xml:space="preserve">For the leaderboard cache, I’d use event-based — the scoring worker writes to Postgres and to the Redis sorted set in the same step. If we miss an invalidation, we have a low-level bug, not silent data drift. For lookup tables that change rarely, TTL is fine. For anything where staleness is dangerous and consistency requirements are absolute, version keys.”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X9b1d072f3266ed836926b72193000d230614b4d"/>
    <w:p>
      <w:pPr>
        <w:pStyle w:val="Heading2"/>
      </w:pPr>
      <w:r>
        <w:t xml:space="preserve">5. Memorable phrases — drop these into trade-off discussions</w:t>
      </w:r>
    </w:p>
    <w:p>
      <w:pPr>
        <w:pStyle w:val="FirstParagraph"/>
      </w:pPr>
      <w:r>
        <w:t xml:space="preserve">Each of these phrases signals seniority when used naturally. Use them sparingly — they sound rehearsed if overused.</w:t>
      </w:r>
    </w:p>
    <w:bookmarkStart w:id="31" w:name="X5fdb74701c92fc351a3ca4d5ec874d887297b2e"/>
    <w:p>
      <w:pPr>
        <w:pStyle w:val="Heading3"/>
      </w:pPr>
      <w:r>
        <w:t xml:space="preserve">5.1.</w:t>
      </w:r>
      <w:r>
        <w:t xml:space="preserve"> </w:t>
      </w:r>
      <w:r>
        <w:t xml:space="preserve">“The cheapest decision is the one you can reverse.”</w:t>
      </w:r>
    </w:p>
    <w:p>
      <w:pPr>
        <w:pStyle w:val="FirstParagraph"/>
      </w:pPr>
      <w:r>
        <w:t xml:space="preserve">Use when: someone asks about future-proofing or scale.</w:t>
      </w:r>
    </w:p>
    <w:bookmarkEnd w:id="31"/>
    <w:bookmarkStart w:id="32" w:name="premature-x-is-the-root-of-all-evil."/>
    <w:p>
      <w:pPr>
        <w:pStyle w:val="Heading3"/>
      </w:pPr>
      <w:r>
        <w:t xml:space="preserve">5.2.</w:t>
      </w:r>
      <w:r>
        <w:t xml:space="preserve"> </w:t>
      </w:r>
      <w:r>
        <w:t xml:space="preserve">“Premature [X] is the root of all evil.”</w:t>
      </w:r>
    </w:p>
    <w:p>
      <w:pPr>
        <w:pStyle w:val="FirstParagraph"/>
      </w:pPr>
      <w:r>
        <w:t xml:space="preserve">Use when: someone proposes a complexity that won’t pay off for a while. Substitute</w:t>
      </w:r>
      <w:r>
        <w:t xml:space="preserve"> </w:t>
      </w:r>
      <w:r>
        <w:rPr>
          <w:i/>
          <w:iCs/>
        </w:rPr>
        <w:t xml:space="preserve">optimization</w:t>
      </w:r>
      <w:r>
        <w:t xml:space="preserve">,</w:t>
      </w:r>
      <w:r>
        <w:t xml:space="preserve"> </w:t>
      </w:r>
      <w:r>
        <w:rPr>
          <w:i/>
          <w:iCs/>
        </w:rPr>
        <w:t xml:space="preserve">abstraction</w:t>
      </w:r>
      <w:r>
        <w:t xml:space="preserve">,</w:t>
      </w:r>
      <w:r>
        <w:t xml:space="preserve"> </w:t>
      </w:r>
      <w:r>
        <w:rPr>
          <w:i/>
          <w:iCs/>
        </w:rPr>
        <w:t xml:space="preserve">microservicing</w:t>
      </w:r>
      <w:r>
        <w:t xml:space="preserve">,</w:t>
      </w:r>
      <w:r>
        <w:t xml:space="preserve"> </w:t>
      </w:r>
      <w:r>
        <w:rPr>
          <w:i/>
          <w:iCs/>
        </w:rPr>
        <w:t xml:space="preserve">generalization</w:t>
      </w:r>
      <w:r>
        <w:t xml:space="preserve">.</w:t>
      </w:r>
    </w:p>
    <w:bookmarkEnd w:id="32"/>
    <w:bookmarkStart w:id="33" w:name="X7692ba7691cc0c76b72965337bd8e22a772c794"/>
    <w:p>
      <w:pPr>
        <w:pStyle w:val="Heading3"/>
      </w:pPr>
      <w:r>
        <w:t xml:space="preserve">5.3.</w:t>
      </w:r>
      <w:r>
        <w:t xml:space="preserve"> </w:t>
      </w:r>
      <w:r>
        <w:t xml:space="preserve">“Engineering is choosing what to be wrong about.”</w:t>
      </w:r>
    </w:p>
    <w:p>
      <w:pPr>
        <w:pStyle w:val="FirstParagraph"/>
      </w:pPr>
      <w:r>
        <w:t xml:space="preserve">Use when: a perfectionist on the panel keeps pushing for the most-correct option without weighing costs.</w:t>
      </w:r>
    </w:p>
    <w:bookmarkEnd w:id="33"/>
    <w:bookmarkStart w:id="34" w:name="every-architecture-has-a-customer."/>
    <w:p>
      <w:pPr>
        <w:pStyle w:val="Heading3"/>
      </w:pPr>
      <w:r>
        <w:t xml:space="preserve">5.4.</w:t>
      </w:r>
      <w:r>
        <w:t xml:space="preserve"> </w:t>
      </w:r>
      <w:r>
        <w:t xml:space="preserve">“Every architecture has a customer.”</w:t>
      </w:r>
    </w:p>
    <w:p>
      <w:pPr>
        <w:pStyle w:val="FirstParagraph"/>
      </w:pPr>
      <w:r>
        <w:t xml:space="preserve">Use when: discussing trade-offs that pit developer convenience against user experience.</w:t>
      </w:r>
    </w:p>
    <w:bookmarkEnd w:id="34"/>
    <w:bookmarkStart w:id="35" w:name="X4aecc703bf22aa6b86a42211cc281fadecbba1f"/>
    <w:p>
      <w:pPr>
        <w:pStyle w:val="Heading3"/>
      </w:pPr>
      <w:r>
        <w:t xml:space="preserve">5.5.</w:t>
      </w:r>
      <w:r>
        <w:t xml:space="preserve"> </w:t>
      </w:r>
      <w:r>
        <w:t xml:space="preserve">“I’d write the ADR before I write the code.”</w:t>
      </w:r>
    </w:p>
    <w:p>
      <w:pPr>
        <w:pStyle w:val="FirstParagraph"/>
      </w:pPr>
      <w:r>
        <w:t xml:space="preserve">Use when: discussing how to document a decision. ADR = architecture decision record.</w:t>
      </w:r>
    </w:p>
    <w:bookmarkEnd w:id="35"/>
    <w:bookmarkStart w:id="36" w:name="whats-the-cost-of-being-wrong-here"/>
    <w:p>
      <w:pPr>
        <w:pStyle w:val="Heading3"/>
      </w:pPr>
      <w:r>
        <w:t xml:space="preserve">5.6.</w:t>
      </w:r>
      <w:r>
        <w:t xml:space="preserve"> </w:t>
      </w:r>
      <w:r>
        <w:t xml:space="preserve">“What’s the cost of being wrong here?”</w:t>
      </w:r>
    </w:p>
    <w:p>
      <w:pPr>
        <w:pStyle w:val="FirstParagraph"/>
      </w:pPr>
      <w:r>
        <w:t xml:space="preserve">Use when: someone is over-thinking a low-stakes decision. Forces them to articulate why this one matters.</w:t>
      </w:r>
    </w:p>
    <w:bookmarkEnd w:id="36"/>
    <w:bookmarkStart w:id="37" w:name="X86d37fc777e9c7e2dbe9fa46b1436e59634eeef"/>
    <w:p>
      <w:pPr>
        <w:pStyle w:val="Heading3"/>
      </w:pPr>
      <w:r>
        <w:t xml:space="preserve">5.7.</w:t>
      </w:r>
      <w:r>
        <w:t xml:space="preserve"> </w:t>
      </w:r>
      <w:r>
        <w:t xml:space="preserve">“If we had to deprecate this in two years, what would that look like?”</w:t>
      </w:r>
    </w:p>
    <w:p>
      <w:pPr>
        <w:pStyle w:val="FirstParagraph"/>
      </w:pPr>
      <w:r>
        <w:t xml:space="preserve">Use when: discussing extensibility / boundary placement. The answer reveals coupling.</w:t>
      </w:r>
    </w:p>
    <w:bookmarkEnd w:id="37"/>
    <w:bookmarkStart w:id="38" w:name="X42f39e262fa2923b7b63f537b3ad068e919fbbf"/>
    <w:p>
      <w:pPr>
        <w:pStyle w:val="Heading3"/>
      </w:pPr>
      <w:r>
        <w:t xml:space="preserve">5.8.</w:t>
      </w:r>
      <w:r>
        <w:t xml:space="preserve"> </w:t>
      </w:r>
      <w:r>
        <w:t xml:space="preserve">“The hard part isn’t choosing — it’s communicating the choice to the team.”</w:t>
      </w:r>
    </w:p>
    <w:p>
      <w:pPr>
        <w:pStyle w:val="FirstParagraph"/>
      </w:pPr>
      <w:r>
        <w:t xml:space="preserve">Use when: the panel asks how you’d roll out a controversial decision.</w:t>
      </w:r>
      <w:r>
        <w:t xml:space="preserve"> </w:t>
      </w:r>
      <w:r>
        <w:rPr>
          <w:b/>
          <w:bCs/>
        </w:rPr>
        <w:t xml:space="preserve">A favorite of staff interviewers.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the-four-traps-in-trade-off-discussions"/>
    <w:p>
      <w:pPr>
        <w:pStyle w:val="Heading2"/>
      </w:pPr>
      <w:r>
        <w:t xml:space="preserve">6. The four traps in trade-off discussions</w:t>
      </w:r>
    </w:p>
    <w:bookmarkStart w:id="40" w:name="the-over-confident-trap"/>
    <w:p>
      <w:pPr>
        <w:pStyle w:val="Heading3"/>
      </w:pPr>
      <w:r>
        <w:t xml:space="preserve">6.1. The over-confident trap</w:t>
      </w:r>
    </w:p>
    <w:p>
      <w:pPr>
        <w:pStyle w:val="BlockText"/>
      </w:pPr>
      <w:r>
        <w:rPr>
          <w:i/>
          <w:iCs/>
        </w:rPr>
        <w:t xml:space="preserve">“Definitely A. B is always wrong.”</w:t>
      </w:r>
    </w:p>
    <w:p>
      <w:pPr>
        <w:pStyle w:val="FirstParagraph"/>
      </w:pPr>
      <w:r>
        <w:t xml:space="preserve">Almost every</w:t>
      </w:r>
      <w:r>
        <w:t xml:space="preserve"> </w:t>
      </w:r>
      <w:r>
        <w:t xml:space="preserve">“always wrong”</w:t>
      </w:r>
      <w:r>
        <w:t xml:space="preserve"> </w:t>
      </w:r>
      <w:r>
        <w:t xml:space="preserve">claim has counter-examples. The interviewer will surface one and you’ll backpedal.</w:t>
      </w:r>
      <w:r>
        <w:t xml:space="preserve"> </w:t>
      </w:r>
      <w:r>
        <w:rPr>
          <w:b/>
          <w:bCs/>
        </w:rPr>
        <w:t xml:space="preserve">Default to</w:t>
      </w:r>
      <w:r>
        <w:rPr>
          <w:b/>
          <w:bCs/>
        </w:rPr>
        <w:t xml:space="preserve"> </w:t>
      </w:r>
      <w:r>
        <w:rPr>
          <w:b/>
          <w:bCs/>
        </w:rPr>
        <w:t xml:space="preserve">“depends”</w:t>
      </w:r>
      <w:r>
        <w:rPr>
          <w:b/>
          <w:bCs/>
        </w:rPr>
        <w:t xml:space="preserve"> </w:t>
      </w:r>
      <w:r>
        <w:rPr>
          <w:b/>
          <w:bCs/>
        </w:rPr>
        <w:t xml:space="preserve">then narrow.</w:t>
      </w:r>
    </w:p>
    <w:bookmarkEnd w:id="40"/>
    <w:bookmarkStart w:id="41" w:name="the-chronic-fence-sitter-trap"/>
    <w:p>
      <w:pPr>
        <w:pStyle w:val="Heading3"/>
      </w:pPr>
      <w:r>
        <w:t xml:space="preserve">6.2. The chronic-fence-sitter trap</w:t>
      </w:r>
    </w:p>
    <w:p>
      <w:pPr>
        <w:pStyle w:val="BlockText"/>
      </w:pPr>
      <w:r>
        <w:rPr>
          <w:i/>
          <w:iCs/>
        </w:rPr>
        <w:t xml:space="preserve">“Both have pros and cons. It depends.”</w:t>
      </w:r>
    </w:p>
    <w:p>
      <w:pPr>
        <w:pStyle w:val="FirstParagraph"/>
      </w:pPr>
      <w:r>
        <w:t xml:space="preserve">You said</w:t>
      </w:r>
      <w:r>
        <w:t xml:space="preserve"> </w:t>
      </w:r>
      <w:r>
        <w:t xml:space="preserve">“depends”</w:t>
      </w:r>
      <w:r>
        <w:t xml:space="preserve"> </w:t>
      </w:r>
      <w:r>
        <w:t xml:space="preserve">and didn’t follow up with what it depends on. The interviewer thinks: this person can’t decide.</w:t>
      </w:r>
      <w:r>
        <w:t xml:space="preserve"> </w:t>
      </w:r>
      <w:r>
        <w:rPr>
          <w:b/>
          <w:bCs/>
        </w:rPr>
        <w:t xml:space="preserve">Always follow</w:t>
      </w:r>
      <w:r>
        <w:rPr>
          <w:b/>
          <w:bCs/>
        </w:rPr>
        <w:t xml:space="preserve"> </w:t>
      </w:r>
      <w:r>
        <w:rPr>
          <w:b/>
          <w:bCs/>
        </w:rPr>
        <w:t xml:space="preserve">“depends”</w:t>
      </w:r>
      <w:r>
        <w:rPr>
          <w:b/>
          <w:bCs/>
        </w:rPr>
        <w:t xml:space="preserve"> </w:t>
      </w:r>
      <w:r>
        <w:rPr>
          <w:b/>
          <w:bCs/>
        </w:rPr>
        <w:t xml:space="preserve">with what it depends on.</w:t>
      </w:r>
    </w:p>
    <w:bookmarkEnd w:id="41"/>
    <w:bookmarkStart w:id="42" w:name="the-ai-told-me-trap"/>
    <w:p>
      <w:pPr>
        <w:pStyle w:val="Heading3"/>
      </w:pPr>
      <w:r>
        <w:t xml:space="preserve">6.3. The</w:t>
      </w:r>
      <w:r>
        <w:t xml:space="preserve"> </w:t>
      </w:r>
      <w:r>
        <w:t xml:space="preserve">“AI told me”</w:t>
      </w:r>
      <w:r>
        <w:t xml:space="preserve"> </w:t>
      </w:r>
      <w:r>
        <w:t xml:space="preserve">trap</w:t>
      </w:r>
    </w:p>
    <w:p>
      <w:pPr>
        <w:pStyle w:val="BlockText"/>
      </w:pPr>
      <w:r>
        <w:rPr>
          <w:i/>
          <w:iCs/>
        </w:rPr>
        <w:t xml:space="preserve">“Well, when I asked the LLM, it said B is preferred for this kind of thing.”</w:t>
      </w:r>
    </w:p>
    <w:p>
      <w:pPr>
        <w:pStyle w:val="FirstParagraph"/>
      </w:pPr>
      <w:r>
        <w:t xml:space="preserve">You just outsourced your judgment. The interviewer will lean in:</w:t>
      </w:r>
      <w:r>
        <w:t xml:space="preserve"> </w:t>
      </w:r>
      <w:r>
        <w:rPr>
          <w:i/>
          <w:iCs/>
        </w:rPr>
        <w:t xml:space="preserve">“What does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that</w:t>
      </w:r>
      <w:r>
        <w:rPr>
          <w:i/>
          <w:iCs/>
        </w:rPr>
        <w:t xml:space="preserve"> </w:t>
      </w:r>
      <w:r>
        <w:rPr>
          <w:i/>
          <w:iCs/>
        </w:rPr>
        <w:t xml:space="preserve">mean — preferred?”</w:t>
      </w:r>
      <w:r>
        <w:t xml:space="preserve"> </w:t>
      </w:r>
      <w:r>
        <w:t xml:space="preserve">and you’ll have nothing.</w:t>
      </w:r>
    </w:p>
    <w:bookmarkEnd w:id="42"/>
    <w:bookmarkStart w:id="43" w:name="the-buzzword-trap"/>
    <w:p>
      <w:pPr>
        <w:pStyle w:val="Heading3"/>
      </w:pPr>
      <w:r>
        <w:t xml:space="preserve">6.4. The buzzword trap</w:t>
      </w:r>
    </w:p>
    <w:p>
      <w:pPr>
        <w:pStyle w:val="BlockText"/>
      </w:pPr>
      <w:r>
        <w:rPr>
          <w:i/>
          <w:iCs/>
        </w:rPr>
        <w:t xml:space="preserve">“We’d use a CQRS pattern with event sourcing and saga orchestration.”</w:t>
      </w:r>
    </w:p>
    <w:p>
      <w:pPr>
        <w:pStyle w:val="FirstParagraph"/>
      </w:pPr>
      <w:r>
        <w:t xml:space="preserve">If those words solved the problem at hand, fine. If they’re decorative, you’ll get cross-examined and exposed.</w:t>
      </w:r>
      <w:r>
        <w:t xml:space="preserve"> </w:t>
      </w:r>
      <w:r>
        <w:rPr>
          <w:b/>
          <w:bCs/>
        </w:rPr>
        <w:t xml:space="preserve">Reach for vocabulary in proportion to your understanding of it.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the-i-disagree-moment"/>
    <w:p>
      <w:pPr>
        <w:pStyle w:val="Heading2"/>
      </w:pPr>
      <w:r>
        <w:t xml:space="preserve">7. The</w:t>
      </w:r>
      <w:r>
        <w:t xml:space="preserve"> </w:t>
      </w:r>
      <w:r>
        <w:t xml:space="preserve">“I disagree”</w:t>
      </w:r>
      <w:r>
        <w:t xml:space="preserve"> </w:t>
      </w:r>
      <w:r>
        <w:t xml:space="preserve">moment</w:t>
      </w:r>
    </w:p>
    <w:p>
      <w:pPr>
        <w:pStyle w:val="FirstParagraph"/>
      </w:pPr>
      <w:r>
        <w:t xml:space="preserve">Sometimes the interviewer will push back on your trade-off:</w:t>
      </w:r>
    </w:p>
    <w:p>
      <w:pPr>
        <w:pStyle w:val="BlockText"/>
      </w:pPr>
      <w:r>
        <w:rPr>
          <w:i/>
          <w:iCs/>
        </w:rPr>
        <w:t xml:space="preserve">“I’d actually pick the other option for this.”</w:t>
      </w:r>
    </w:p>
    <w:p>
      <w:pPr>
        <w:pStyle w:val="FirstParagraph"/>
      </w:pPr>
      <w:r>
        <w:t xml:space="preserve">Two ways this can go.</w:t>
      </w:r>
    </w:p>
    <w:bookmarkStart w:id="45" w:name="the-wrong-response-caving"/>
    <w:p>
      <w:pPr>
        <w:pStyle w:val="Heading3"/>
      </w:pPr>
      <w:r>
        <w:t xml:space="preserve">7.1. The wrong response — caving</w:t>
      </w:r>
    </w:p>
    <w:p>
      <w:pPr>
        <w:pStyle w:val="BlockText"/>
      </w:pPr>
      <w:r>
        <w:rPr>
          <w:i/>
          <w:iCs/>
        </w:rPr>
        <w:t xml:space="preserve">“Oh, yeah, you’re probably right…”</w:t>
      </w:r>
    </w:p>
    <w:p>
      <w:pPr>
        <w:pStyle w:val="FirstParagraph"/>
      </w:pPr>
      <w:r>
        <w:t xml:space="preserve">You just signaled that your reasoning was performative. The interviewer notes: this person folds under pressure.</w:t>
      </w:r>
      <w:r>
        <w:t xml:space="preserve"> </w:t>
      </w:r>
      <w:r>
        <w:rPr>
          <w:b/>
          <w:bCs/>
        </w:rPr>
        <w:t xml:space="preserve">You will not get the offer.</w:t>
      </w:r>
    </w:p>
    <w:bookmarkEnd w:id="45"/>
    <w:bookmarkStart w:id="46" w:name="the-right-response-engaging"/>
    <w:p>
      <w:pPr>
        <w:pStyle w:val="Heading3"/>
      </w:pPr>
      <w:r>
        <w:t xml:space="preserve">7.2. The right response — engaging</w:t>
      </w:r>
    </w:p>
    <w:p>
      <w:pPr>
        <w:pStyle w:val="BlockText"/>
      </w:pPr>
      <w:r>
        <w:rPr>
          <w:i/>
          <w:iCs/>
        </w:rPr>
        <w:t xml:space="preserve">“Interesting — I’d want to understand the case for the other option. What weight are you putting on which axis? My reasoning was [restate], but I might be missing something.”</w:t>
      </w:r>
    </w:p>
    <w:p>
      <w:pPr>
        <w:pStyle w:val="FirstParagraph"/>
      </w:pPr>
      <w:r>
        <w:t xml:space="preserve">You held your position, asked for the interviewer’s reasoning, and offered to update if there’s information you missed.</w:t>
      </w:r>
      <w:r>
        <w:t xml:space="preserve"> </w:t>
      </w:r>
      <w:r>
        <w:rPr>
          <w:b/>
          <w:bCs/>
        </w:rPr>
        <w:t xml:space="preserve">That is the senior move.</w:t>
      </w:r>
    </w:p>
    <w:p>
      <w:pPr>
        <w:pStyle w:val="BodyText"/>
      </w:pPr>
      <w:r>
        <w:t xml:space="preserve">If their reasoning convinces you,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update — and explain why their argument changed your mind. Updating in the face of new information is fine. Folding because someone disagreed is not.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the-too-many-trade-offs-to-list-panic"/>
    <w:p>
      <w:pPr>
        <w:pStyle w:val="Heading2"/>
      </w:pPr>
      <w:r>
        <w:t xml:space="preserve">8. The</w:t>
      </w:r>
      <w:r>
        <w:t xml:space="preserve"> </w:t>
      </w:r>
      <w:r>
        <w:t xml:space="preserve">“too many trade-offs to list”</w:t>
      </w:r>
      <w:r>
        <w:t xml:space="preserve"> </w:t>
      </w:r>
      <w:r>
        <w:t xml:space="preserve">panic</w:t>
      </w:r>
    </w:p>
    <w:p>
      <w:pPr>
        <w:pStyle w:val="FirstParagraph"/>
      </w:pPr>
      <w:r>
        <w:t xml:space="preserve">Sometimes a question is so broad you don’t know where to start.</w:t>
      </w:r>
    </w:p>
    <w:p>
      <w:pPr>
        <w:pStyle w:val="BlockText"/>
      </w:pPr>
      <w:r>
        <w:rPr>
          <w:i/>
          <w:iCs/>
        </w:rPr>
        <w:t xml:space="preserve">“How would you build a search system?”</w:t>
      </w:r>
    </w:p>
    <w:p>
      <w:pPr>
        <w:pStyle w:val="FirstParagraph"/>
      </w:pPr>
      <w:r>
        <w:t xml:space="preserve">Take a breath. Use this template:</w:t>
      </w:r>
    </w:p>
    <w:p>
      <w:pPr>
        <w:pStyle w:val="BlockText"/>
      </w:pPr>
      <w:r>
        <w:rPr>
          <w:i/>
          <w:iCs/>
        </w:rPr>
        <w:t xml:space="preserve">“Search is one of those topics where the answer changes a lot based on a few key questions. Let me list them and you tell me which to focus on:</w:t>
      </w:r>
    </w:p>
    <w:p>
      <w:pPr>
        <w:pStyle w:val="BlockText"/>
      </w:pPr>
      <w:r>
        <w:rPr>
          <w:i/>
          <w:iCs/>
        </w:rPr>
        <w:t xml:space="preserve">- Scale: thousands of documents, or billions?</w:t>
      </w:r>
      <w:r>
        <w:t xml:space="preserve"> </w:t>
      </w:r>
      <w:r>
        <w:rPr>
          <w:i/>
          <w:iCs/>
        </w:rPr>
        <w:t xml:space="preserve">- Update frequency: read-mostly, or constantly changing?</w:t>
      </w:r>
      <w:r>
        <w:t xml:space="preserve"> </w:t>
      </w:r>
      <w:r>
        <w:rPr>
          <w:i/>
          <w:iCs/>
        </w:rPr>
        <w:t xml:space="preserve">- Latency budget: instant typeahead, or seconds-acceptable?</w:t>
      </w:r>
      <w:r>
        <w:t xml:space="preserve"> </w:t>
      </w:r>
      <w:r>
        <w:rPr>
          <w:i/>
          <w:iCs/>
        </w:rPr>
        <w:t xml:space="preserve">- Quality budget: lexical match is enough, or do we need semantic / vector?</w:t>
      </w:r>
      <w:r>
        <w:t xml:space="preserve"> </w:t>
      </w:r>
      <w:r>
        <w:rPr>
          <w:i/>
          <w:iCs/>
        </w:rPr>
        <w:t xml:space="preserve">- Operational budget: managed (Algolia / Elastic Cloud), self-hosted, or build?</w:t>
      </w:r>
    </w:p>
    <w:p>
      <w:pPr>
        <w:pStyle w:val="BlockText"/>
      </w:pPr>
      <w:r>
        <w:rPr>
          <w:i/>
          <w:iCs/>
        </w:rPr>
        <w:t xml:space="preserve">Which of those should I dig into first?“</w:t>
      </w:r>
    </w:p>
    <w:p>
      <w:pPr>
        <w:pStyle w:val="FirstParagraph"/>
      </w:pPr>
      <w:r>
        <w:t xml:space="preserve">That move converts a vague question into a specific one. The interviewer either picks an axis (now you have a real conversation) or says</w:t>
      </w:r>
      <w:r>
        <w:t xml:space="preserve"> </w:t>
      </w:r>
      <w:r>
        <w:rPr>
          <w:i/>
          <w:iCs/>
        </w:rPr>
        <w:t xml:space="preserve">“good list, you pick”</w:t>
      </w:r>
      <w:r>
        <w:t xml:space="preserve"> </w:t>
      </w:r>
      <w:r>
        <w:t xml:space="preserve">(now you have permission to focus on any one axis you’re strong on).</w:t>
      </w:r>
    </w:p>
    <w:p>
      <w:pPr>
        <w:pStyle w:val="BodyText"/>
      </w:pPr>
      <w:r>
        <w:rPr>
          <w:b/>
          <w:bCs/>
        </w:rPr>
        <w:t xml:space="preserve">Reframing breadth into depth is its own senior skill.</w:t>
      </w:r>
    </w:p>
    <w:p>
      <w:r>
        <w:pict>
          <v:rect style="width:0;height:1.5pt" o:hralign="center" o:hrstd="t" o:hr="t"/>
        </w:pict>
      </w:r>
    </w:p>
    <w:bookmarkEnd w:id="48"/>
    <w:bookmarkStart w:id="49" w:name="X7f71e08065c098dc16b27bdc613e0119dbb718a"/>
    <w:p>
      <w:pPr>
        <w:pStyle w:val="Heading2"/>
      </w:pPr>
      <w:r>
        <w:t xml:space="preserve">9. Talking trade-offs to non-technical audiences</w:t>
      </w:r>
    </w:p>
    <w:p>
      <w:pPr>
        <w:pStyle w:val="FirstParagraph"/>
      </w:pPr>
      <w:r>
        <w:t xml:space="preserve">A surprise interview question:</w:t>
      </w:r>
    </w:p>
    <w:p>
      <w:pPr>
        <w:pStyle w:val="BlockText"/>
      </w:pPr>
      <w:r>
        <w:rPr>
          <w:i/>
          <w:iCs/>
        </w:rPr>
        <w:t xml:space="preserve">“How would you explain this trade-off to our CEO?”</w:t>
      </w:r>
    </w:p>
    <w:p>
      <w:pPr>
        <w:pStyle w:val="FirstParagraph"/>
      </w:pPr>
      <w:r>
        <w:t xml:space="preserve">Have a structure:</w:t>
      </w:r>
    </w:p>
    <w:p>
      <w:pPr>
        <w:pStyle w:val="BlockText"/>
      </w:pPr>
      <w:r>
        <w:rPr>
          <w:i/>
          <w:iCs/>
        </w:rPr>
        <w:t xml:space="preserve">“I’d skip the engineering vocabulary and translate to outcomes. Instead of</w:t>
      </w:r>
      <w:r>
        <w:rPr>
          <w:i/>
          <w:iCs/>
        </w:rPr>
        <w:t xml:space="preserve"> </w:t>
      </w:r>
      <w:r>
        <w:rPr>
          <w:i/>
          <w:iCs/>
        </w:rPr>
        <w:t xml:space="preserve">‘eventual consistency,’</w:t>
      </w:r>
      <w:r>
        <w:rPr>
          <w:i/>
          <w:iCs/>
        </w:rPr>
        <w:t xml:space="preserve"> </w:t>
      </w:r>
      <w:r>
        <w:rPr>
          <w:i/>
          <w:iCs/>
        </w:rPr>
        <w:t xml:space="preserve">I’d say</w:t>
      </w:r>
      <w:r>
        <w:rPr>
          <w:i/>
          <w:iCs/>
        </w:rPr>
        <w:t xml:space="preserve"> </w:t>
      </w:r>
      <w:r>
        <w:rPr>
          <w:i/>
          <w:iCs/>
        </w:rPr>
        <w:t xml:space="preserve">‘the leaderboard might be a few seconds out of date.’</w:t>
      </w:r>
      <w:r>
        <w:rPr>
          <w:i/>
          <w:iCs/>
        </w:rPr>
        <w:t xml:space="preserve"> </w:t>
      </w:r>
      <w:r>
        <w:rPr>
          <w:i/>
          <w:iCs/>
        </w:rPr>
        <w:t xml:space="preserve">Instead of</w:t>
      </w:r>
      <w:r>
        <w:rPr>
          <w:i/>
          <w:iCs/>
        </w:rPr>
        <w:t xml:space="preserve"> </w:t>
      </w:r>
      <w:r>
        <w:rPr>
          <w:i/>
          <w:iCs/>
        </w:rPr>
        <w:t xml:space="preserve">‘horizontal sharding,’</w:t>
      </w:r>
      <w:r>
        <w:rPr>
          <w:i/>
          <w:iCs/>
        </w:rPr>
        <w:t xml:space="preserve"> </w:t>
      </w:r>
      <w:r>
        <w:rPr>
          <w:i/>
          <w:iCs/>
        </w:rPr>
        <w:t xml:space="preserve">I’d say</w:t>
      </w:r>
      <w:r>
        <w:rPr>
          <w:i/>
          <w:iCs/>
        </w:rPr>
        <w:t xml:space="preserve"> </w:t>
      </w:r>
      <w:r>
        <w:rPr>
          <w:i/>
          <w:iCs/>
        </w:rPr>
        <w:t xml:space="preserve">‘we’ll spend two engineer-weeks setting up to scale beyond our current size — that buys us 10x runway, and we’d revisit at that point.’</w:t>
      </w:r>
      <w:r>
        <w:rPr>
          <w:i/>
          <w:iCs/>
        </w:rPr>
        <w:t xml:space="preserve"> </w:t>
      </w:r>
      <w:r>
        <w:rPr>
          <w:i/>
          <w:iCs/>
        </w:rPr>
        <w:t xml:space="preserve">I lead with the user-visible or business-visible consequence. I keep the engineering vocabulary in reserve for follow-up questions if they want depth.”</w:t>
      </w:r>
    </w:p>
    <w:p>
      <w:pPr>
        <w:pStyle w:val="FirstParagraph"/>
      </w:pPr>
      <w:r>
        <w:t xml:space="preserve">That answer signals: I can be in the room with executives.</w:t>
      </w:r>
      <w:r>
        <w:t xml:space="preserve"> </w:t>
      </w:r>
      <w:r>
        <w:rPr>
          <w:b/>
          <w:bCs/>
        </w:rPr>
        <w:t xml:space="preserve">Drill it.</w:t>
      </w:r>
    </w:p>
    <w:p>
      <w:r>
        <w:pict>
          <v:rect style="width:0;height:1.5pt" o:hralign="center" o:hrstd="t" o:hr="t"/>
        </w:pict>
      </w:r>
    </w:p>
    <w:bookmarkEnd w:id="49"/>
    <w:bookmarkStart w:id="50" w:name="the-60-second-trade-off-answer-template"/>
    <w:p>
      <w:pPr>
        <w:pStyle w:val="Heading2"/>
      </w:pPr>
      <w:r>
        <w:t xml:space="preserve">10. The 60-second trade-off answer template</w:t>
      </w:r>
    </w:p>
    <w:p>
      <w:pPr>
        <w:pStyle w:val="FirstParagraph"/>
      </w:pPr>
      <w:r>
        <w:t xml:space="preserve">When you have one minute to deliver a trade-off:</w:t>
      </w:r>
    </w:p>
    <w:p>
      <w:pPr>
        <w:pStyle w:val="BlockText"/>
      </w:pPr>
      <w:r>
        <w:rPr>
          <w:i/>
          <w:iCs/>
        </w:rPr>
        <w:t xml:space="preserve">“On the axes that matter for this — [3 axes] — A and B differ as follows: [one sentence each]. Given that we said [constraint from context], I’d weight [axis] highest, which tips it to [option]. The cost of being wrong is bounded by [reversibility note]. I’d start there and revisit if we see [signal].”</w:t>
      </w:r>
    </w:p>
    <w:p>
      <w:pPr>
        <w:pStyle w:val="FirstParagraph"/>
      </w:pPr>
      <w:r>
        <w:t xml:space="preserve">That’s roughly 80 words, ~50 seconds.</w:t>
      </w:r>
      <w:r>
        <w:t xml:space="preserve"> </w:t>
      </w:r>
      <w:r>
        <w:rPr>
          <w:b/>
          <w:bCs/>
        </w:rPr>
        <w:t xml:space="preserve">Memorize the shape.</w:t>
      </w:r>
      <w:r>
        <w:t xml:space="preserve"> </w:t>
      </w:r>
      <w:r>
        <w:t xml:space="preserve">Plug in the specific axes for any question.</w:t>
      </w:r>
    </w:p>
    <w:p>
      <w:r>
        <w:pict>
          <v:rect style="width:0;height:1.5pt" o:hralign="center" o:hrstd="t" o:hr="t"/>
        </w:pict>
      </w:r>
    </w:p>
    <w:bookmarkEnd w:id="50"/>
    <w:bookmarkStart w:id="51" w:name="practice-the-12-question-rapid-drill"/>
    <w:p>
      <w:pPr>
        <w:pStyle w:val="Heading2"/>
      </w:pPr>
      <w:r>
        <w:t xml:space="preserve">11. Practice — the 12-question rapid drill</w:t>
      </w:r>
    </w:p>
    <w:p>
      <w:pPr>
        <w:pStyle w:val="FirstParagraph"/>
      </w:pPr>
      <w:r>
        <w:t xml:space="preserve">Set a timer. For each, give a 60-second trade-off answer using the structure from section 10.</w:t>
      </w:r>
    </w:p>
    <w:p>
      <w:pPr>
        <w:pStyle w:val="Compact"/>
        <w:numPr>
          <w:ilvl w:val="0"/>
          <w:numId w:val="1003"/>
        </w:numPr>
      </w:pPr>
      <w:r>
        <w:t xml:space="preserve">SQL vs NoSQL.</w:t>
      </w:r>
    </w:p>
    <w:p>
      <w:pPr>
        <w:pStyle w:val="Compact"/>
        <w:numPr>
          <w:ilvl w:val="0"/>
          <w:numId w:val="1003"/>
        </w:numPr>
      </w:pPr>
      <w:r>
        <w:t xml:space="preserve">Microservices vs monolith.</w:t>
      </w:r>
    </w:p>
    <w:p>
      <w:pPr>
        <w:pStyle w:val="Compact"/>
        <w:numPr>
          <w:ilvl w:val="0"/>
          <w:numId w:val="1003"/>
        </w:numPr>
      </w:pPr>
      <w:r>
        <w:t xml:space="preserve">SSR vs CSR.</w:t>
      </w:r>
    </w:p>
    <w:p>
      <w:pPr>
        <w:pStyle w:val="Compact"/>
        <w:numPr>
          <w:ilvl w:val="0"/>
          <w:numId w:val="1003"/>
        </w:numPr>
      </w:pPr>
      <w:r>
        <w:t xml:space="preserve">REST vs GraphQL.</w:t>
      </w:r>
    </w:p>
    <w:p>
      <w:pPr>
        <w:pStyle w:val="Compact"/>
        <w:numPr>
          <w:ilvl w:val="0"/>
          <w:numId w:val="1003"/>
        </w:numPr>
      </w:pPr>
      <w:r>
        <w:t xml:space="preserve">Server-state vs client-state for forms.</w:t>
      </w:r>
    </w:p>
    <w:p>
      <w:pPr>
        <w:pStyle w:val="Compact"/>
        <w:numPr>
          <w:ilvl w:val="0"/>
          <w:numId w:val="1003"/>
        </w:numPr>
      </w:pPr>
      <w:r>
        <w:t xml:space="preserve">Build vs buy for auth.</w:t>
      </w:r>
    </w:p>
    <w:p>
      <w:pPr>
        <w:pStyle w:val="Compact"/>
        <w:numPr>
          <w:ilvl w:val="0"/>
          <w:numId w:val="1003"/>
        </w:numPr>
      </w:pPr>
      <w:r>
        <w:t xml:space="preserve">Stream vs batch for analytics.</w:t>
      </w:r>
    </w:p>
    <w:p>
      <w:pPr>
        <w:pStyle w:val="Compact"/>
        <w:numPr>
          <w:ilvl w:val="0"/>
          <w:numId w:val="1003"/>
        </w:numPr>
      </w:pPr>
      <w:r>
        <w:t xml:space="preserve">Synchronous vs asynchronous for outgoing emails.</w:t>
      </w:r>
    </w:p>
    <w:p>
      <w:pPr>
        <w:pStyle w:val="Compact"/>
        <w:numPr>
          <w:ilvl w:val="0"/>
          <w:numId w:val="1003"/>
        </w:numPr>
      </w:pPr>
      <w:r>
        <w:t xml:space="preserve">Polling vs WebSocket vs Server-Sent Events.</w:t>
      </w:r>
    </w:p>
    <w:p>
      <w:pPr>
        <w:pStyle w:val="Compact"/>
        <w:numPr>
          <w:ilvl w:val="0"/>
          <w:numId w:val="1003"/>
        </w:numPr>
      </w:pPr>
      <w:r>
        <w:t xml:space="preserve">Centralized state vs colocated state.</w:t>
      </w:r>
    </w:p>
    <w:p>
      <w:pPr>
        <w:pStyle w:val="Compact"/>
        <w:numPr>
          <w:ilvl w:val="0"/>
          <w:numId w:val="1003"/>
        </w:numPr>
      </w:pPr>
      <w:r>
        <w:t xml:space="preserve">Optimistic locking vs pessimistic locking.</w:t>
      </w:r>
    </w:p>
    <w:p>
      <w:pPr>
        <w:pStyle w:val="Compact"/>
        <w:numPr>
          <w:ilvl w:val="0"/>
          <w:numId w:val="1003"/>
        </w:numPr>
      </w:pPr>
      <w:r>
        <w:t xml:space="preserve">Multi-tenant vs single-tenant.</w:t>
      </w:r>
    </w:p>
    <w:p>
      <w:pPr>
        <w:pStyle w:val="FirstParagraph"/>
      </w:pPr>
      <w:r>
        <w:t xml:space="preserve">If you can’t deliver all 12 cleanly, you have practice to do. Pick the three weakest and rehearse them out loud daily until they feel automatic.</w:t>
      </w:r>
    </w:p>
    <w:p>
      <w:r>
        <w:pict>
          <v:rect style="width:0;height:1.5pt" o:hralign="center" o:hrstd="t" o:hr="t"/>
        </w:pict>
      </w:r>
    </w:p>
    <w:bookmarkEnd w:id="51"/>
    <w:bookmarkStart w:id="56" w:name="common-pitfalls"/>
    <w:p>
      <w:pPr>
        <w:pStyle w:val="Heading2"/>
      </w:pPr>
      <w:r>
        <w:t xml:space="preserve">12. Common pitfalls</w:t>
      </w:r>
    </w:p>
    <w:bookmarkStart w:id="52" w:name="naming-axes-you-cant-actually-score-on"/>
    <w:p>
      <w:pPr>
        <w:pStyle w:val="Heading3"/>
      </w:pPr>
      <w:r>
        <w:t xml:space="preserve">12.1. Naming axes you can’t actually score on</w:t>
      </w:r>
    </w:p>
    <w:p>
      <w:pPr>
        <w:pStyle w:val="FirstParagraph"/>
      </w:pPr>
      <w:r>
        <w:t xml:space="preserve">If you say</w:t>
      </w:r>
      <w:r>
        <w:t xml:space="preserve"> </w:t>
      </w:r>
      <w:r>
        <w:rPr>
          <w:i/>
          <w:iCs/>
        </w:rPr>
        <w:t xml:space="preserve">“latency is one axis”</w:t>
      </w:r>
      <w:r>
        <w:t xml:space="preserve"> </w:t>
      </w:r>
      <w:r>
        <w:t xml:space="preserve">and then can’t tell the interviewer what the latencies</w:t>
      </w:r>
      <w:r>
        <w:t xml:space="preserve"> </w:t>
      </w:r>
      <w:r>
        <w:rPr>
          <w:i/>
          <w:iCs/>
        </w:rPr>
        <w:t xml:space="preserve">would be</w:t>
      </w:r>
      <w:r>
        <w:t xml:space="preserve">, you’ve over-reached.</w:t>
      </w:r>
      <w:r>
        <w:t xml:space="preserve"> </w:t>
      </w:r>
      <w:r>
        <w:rPr>
          <w:b/>
          <w:bCs/>
        </w:rPr>
        <w:t xml:space="preserve">Only name axes you can score.</w:t>
      </w:r>
    </w:p>
    <w:bookmarkEnd w:id="52"/>
    <w:bookmarkStart w:id="53" w:name="forgetting-reversibility"/>
    <w:p>
      <w:pPr>
        <w:pStyle w:val="Heading3"/>
      </w:pPr>
      <w:r>
        <w:t xml:space="preserve">12.2. Forgetting reversibility</w:t>
      </w:r>
    </w:p>
    <w:p>
      <w:pPr>
        <w:pStyle w:val="FirstParagraph"/>
      </w:pPr>
      <w:r>
        <w:t xml:space="preserve">Every architectural decision has a reversibility cost.</w:t>
      </w:r>
      <w:r>
        <w:t xml:space="preserve"> </w:t>
      </w:r>
      <w:r>
        <w:rPr>
          <w:b/>
          <w:bCs/>
        </w:rPr>
        <w:t xml:space="preserve">Name it.</w:t>
      </w:r>
      <w:r>
        <w:t xml:space="preserve"> </w:t>
      </w:r>
      <w:r>
        <w:t xml:space="preserve">“If we’re wrong, here’s what migration looks like.”</w:t>
      </w:r>
      <w:r>
        <w:t xml:space="preserve"> </w:t>
      </w:r>
      <w:r>
        <w:t xml:space="preserve">Senior signal.</w:t>
      </w:r>
    </w:p>
    <w:bookmarkEnd w:id="53"/>
    <w:bookmarkStart w:id="54" w:name="treating-the-trade-off-as-binary"/>
    <w:p>
      <w:pPr>
        <w:pStyle w:val="Heading3"/>
      </w:pPr>
      <w:r>
        <w:t xml:space="preserve">12.3. Treating the trade-off as binary</w:t>
      </w:r>
    </w:p>
    <w:p>
      <w:pPr>
        <w:pStyle w:val="FirstParagraph"/>
      </w:pPr>
      <w:r>
        <w:t xml:space="preserve">Often the answer is</w:t>
      </w:r>
      <w:r>
        <w:t xml:space="preserve"> </w:t>
      </w:r>
      <w:r>
        <w:rPr>
          <w:i/>
          <w:iCs/>
        </w:rPr>
        <w:t xml:space="preserve">neither</w:t>
      </w:r>
      <w:r>
        <w:t xml:space="preserve">, or</w:t>
      </w:r>
      <w:r>
        <w:t xml:space="preserve"> </w:t>
      </w:r>
      <w:r>
        <w:rPr>
          <w:i/>
          <w:iCs/>
        </w:rPr>
        <w:t xml:space="preserve">both with a clear seam</w:t>
      </w:r>
      <w:r>
        <w:t xml:space="preserve">.</w:t>
      </w:r>
      <w:r>
        <w:t xml:space="preserve"> </w:t>
      </w:r>
      <w:r>
        <w:rPr>
          <w:i/>
          <w:iCs/>
        </w:rPr>
        <w:t xml:space="preserve">“We use SQL for the transactional core and Redis for the hot read paths”</w:t>
      </w:r>
      <w:r>
        <w:t xml:space="preserve"> </w:t>
      </w:r>
      <w:r>
        <w:t xml:space="preserve">is a more sophisticated answer than</w:t>
      </w:r>
      <w:r>
        <w:t xml:space="preserve"> </w:t>
      </w:r>
      <w:r>
        <w:rPr>
          <w:i/>
          <w:iCs/>
        </w:rPr>
        <w:t xml:space="preserve">“SQL”</w:t>
      </w:r>
      <w:r>
        <w:t xml:space="preserve"> </w:t>
      </w:r>
      <w:r>
        <w:t xml:space="preserve">alone.</w:t>
      </w:r>
    </w:p>
    <w:bookmarkEnd w:id="54"/>
    <w:bookmarkStart w:id="55" w:name="Xc56c408b8b7dba7cbd0f73184175d56cdabfdd7"/>
    <w:p>
      <w:pPr>
        <w:pStyle w:val="Heading3"/>
      </w:pPr>
      <w:r>
        <w:t xml:space="preserve">12.4. Not bringing the AI into the conversation</w:t>
      </w:r>
    </w:p>
    <w:p>
      <w:pPr>
        <w:pStyle w:val="FirstParagraph"/>
      </w:pPr>
      <w:r>
        <w:t xml:space="preserve">If you’re in an AI-permitted interview and you never mentioned AI’s role in trade-offs, the panel may wonder if you actually use it.</w:t>
      </w:r>
      <w:r>
        <w:t xml:space="preserve"> </w:t>
      </w:r>
      <w:r>
        <w:rPr>
          <w:b/>
          <w:bCs/>
        </w:rPr>
        <w:t xml:space="preserve">One mention is enough.</w:t>
      </w:r>
      <w:r>
        <w:t xml:space="preserve"> </w:t>
      </w:r>
      <w:r>
        <w:rPr>
          <w:i/>
          <w:iCs/>
        </w:rPr>
        <w:t xml:space="preserve">“In a real working context I’d ask the LLM to surface trade-offs I might have missed — but the decision still has to be mine.”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heck-yourself"/>
    <w:p>
      <w:pPr>
        <w:pStyle w:val="Heading2"/>
      </w:pPr>
      <w:r>
        <w:t xml:space="preserve">13. CHECK YOURSELF</w:t>
      </w:r>
    </w:p>
    <w:p>
      <w:pPr>
        <w:pStyle w:val="Compact"/>
        <w:numPr>
          <w:ilvl w:val="0"/>
          <w:numId w:val="1004"/>
        </w:numPr>
      </w:pPr>
      <w:r>
        <w:t xml:space="preserve">Can you list the five-step trade-off structure from memory?</w:t>
      </w:r>
    </w:p>
    <w:p>
      <w:pPr>
        <w:pStyle w:val="Compact"/>
        <w:numPr>
          <w:ilvl w:val="0"/>
          <w:numId w:val="1005"/>
        </w:numPr>
      </w:pPr>
      <w:r>
        <w:t xml:space="preserve">Can you list the eight axes that show up in most trade-off questions?</w:t>
      </w:r>
    </w:p>
    <w:p>
      <w:pPr>
        <w:pStyle w:val="Compact"/>
        <w:numPr>
          <w:ilvl w:val="0"/>
          <w:numId w:val="1006"/>
        </w:numPr>
      </w:pPr>
      <w:r>
        <w:t xml:space="preserve">Can you deliver a 60-second trade-off answer for any of the 12 rapid-drill questions?</w:t>
      </w:r>
    </w:p>
    <w:p>
      <w:pPr>
        <w:pStyle w:val="Compact"/>
        <w:numPr>
          <w:ilvl w:val="0"/>
          <w:numId w:val="1007"/>
        </w:numPr>
      </w:pPr>
      <w:r>
        <w:t xml:space="preserve">Can you handle the</w:t>
      </w:r>
      <w:r>
        <w:t xml:space="preserve"> </w:t>
      </w:r>
      <w:r>
        <w:t xml:space="preserve">“I disagree”</w:t>
      </w:r>
      <w:r>
        <w:t xml:space="preserve"> </w:t>
      </w:r>
      <w:r>
        <w:t xml:space="preserve">moment without folding?</w:t>
      </w:r>
    </w:p>
    <w:p>
      <w:pPr>
        <w:pStyle w:val="Compact"/>
        <w:numPr>
          <w:ilvl w:val="0"/>
          <w:numId w:val="1008"/>
        </w:numPr>
      </w:pPr>
      <w:r>
        <w:t xml:space="preserve">Can you reframe a too-broad question into specific sub-questions?</w:t>
      </w:r>
    </w:p>
    <w:p>
      <w:r>
        <w:pict>
          <v:rect style="width:0;height:1.5pt" o:hralign="center" o:hrstd="t" o:hr="t"/>
        </w:pict>
      </w:r>
    </w:p>
    <w:bookmarkEnd w:id="57"/>
    <w:bookmarkStart w:id="59" w:name="where-you-are-now"/>
    <w:p>
      <w:pPr>
        <w:pStyle w:val="Heading2"/>
      </w:pPr>
      <w:r>
        <w:t xml:space="preserve">14. Where you are now</w:t>
      </w:r>
    </w:p>
    <w:p>
      <w:pPr>
        <w:pStyle w:val="FirstParagraph"/>
      </w:pPr>
      <w:r>
        <w:t xml:space="preserve">You can now hold trade-off conversations at the senior and staff level — with or without AI in the room. Move on to</w:t>
      </w:r>
      <w:r>
        <w:t xml:space="preserve"> </w:t>
      </w:r>
      <w:hyperlink r:id="rId58">
        <w:r>
          <w:rPr>
            <w:rStyle w:val="Hyperlink"/>
            <w:b/>
            <w:bCs/>
          </w:rPr>
          <w:t xml:space="preserve">../chapter-06-behavioral-and-closing/README.md</w:t>
        </w:r>
      </w:hyperlink>
      <w:r>
        <w:t xml:space="preserve"> </w:t>
      </w:r>
      <w:r>
        <w:t xml:space="preserve">— the closing chapter, where we tie everything together with behavioral, ethical, and narrative-closing skills.</w:t>
      </w:r>
    </w:p>
    <w:bookmarkEnd w:id="59"/>
    <w:bookmarkEnd w:id="60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8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8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5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4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3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2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../chapter-06-behavioral-and-closing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../chapter-06-behavioral-and-closing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5.3 — Trade-off Conversations</dc:title>
  <dc:creator/>
  <cp:keywords/>
  <dcterms:created xsi:type="dcterms:W3CDTF">2026-05-12T02:39:53Z</dcterms:created>
  <dcterms:modified xsi:type="dcterms:W3CDTF">2026-05-12T02:39:53Z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