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36"/>
          <w:szCs w:val="36"/>
        </w:rPr>
      </w:pPr>
      <w:bookmarkStart w:colFirst="0" w:colLast="0" w:name="_fvb7d7wge78w" w:id="0"/>
      <w:bookmarkEnd w:id="0"/>
      <w:r w:rsidDel="00000000" w:rsidR="00000000" w:rsidRPr="00000000">
        <w:rPr>
          <w:b w:val="1"/>
          <w:sz w:val="36"/>
          <w:szCs w:val="36"/>
          <w:rtl w:val="0"/>
        </w:rPr>
        <w:t xml:space="preserve">Executive Summary: Quantitative Risk Modelling and Business Continuity Strategy for Pampered Pets Ltd.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jc w:val="center"/>
        <w:rPr>
          <w:sz w:val="24"/>
          <w:szCs w:val="24"/>
        </w:rPr>
      </w:pPr>
      <w:r w:rsidDel="00000000" w:rsidR="00000000" w:rsidRPr="00000000">
        <w:rPr>
          <w:b w:val="1"/>
          <w:sz w:val="24"/>
          <w:szCs w:val="24"/>
          <w:rtl w:val="0"/>
        </w:rPr>
        <w:t xml:space="preserve"> Student:</w:t>
      </w:r>
      <w:r w:rsidDel="00000000" w:rsidR="00000000" w:rsidRPr="00000000">
        <w:rPr>
          <w:sz w:val="24"/>
          <w:szCs w:val="24"/>
          <w:rtl w:val="0"/>
        </w:rPr>
        <w:t xml:space="preserve"> Ketan Mone</w:t>
        <w:br w:type="textWrapping"/>
        <w:t xml:space="preserve"> </w:t>
      </w:r>
      <w:r w:rsidDel="00000000" w:rsidR="00000000" w:rsidRPr="00000000">
        <w:rPr>
          <w:b w:val="1"/>
          <w:sz w:val="24"/>
          <w:szCs w:val="24"/>
          <w:rtl w:val="0"/>
        </w:rPr>
        <w:t xml:space="preserve">University of Essex Online</w:t>
        <w:br w:type="textWrapping"/>
      </w:r>
      <w:r w:rsidDel="00000000" w:rsidR="00000000" w:rsidRPr="00000000">
        <w:rPr>
          <w:sz w:val="24"/>
          <w:szCs w:val="24"/>
          <w:rtl w:val="0"/>
        </w:rPr>
        <w:br w:type="textWrapping"/>
        <w:t xml:space="preserve"> </w:t>
      </w:r>
      <w:r w:rsidDel="00000000" w:rsidR="00000000" w:rsidRPr="00000000">
        <w:rPr>
          <w:b w:val="1"/>
          <w:sz w:val="24"/>
          <w:szCs w:val="24"/>
          <w:rtl w:val="0"/>
        </w:rPr>
        <w:t xml:space="preserve">Word Count:</w:t>
      </w:r>
      <w:r w:rsidDel="00000000" w:rsidR="00000000" w:rsidRPr="00000000">
        <w:rPr>
          <w:sz w:val="24"/>
          <w:szCs w:val="24"/>
          <w:rtl w:val="0"/>
        </w:rPr>
        <w:t xml:space="preserve"> 1957 words</w:t>
        <w:br w:type="textWrapping"/>
        <w:t xml:space="preserve"> </w:t>
      </w:r>
      <w:r w:rsidDel="00000000" w:rsidR="00000000" w:rsidRPr="00000000">
        <w:rPr>
          <w:b w:val="1"/>
          <w:sz w:val="24"/>
          <w:szCs w:val="24"/>
          <w:rtl w:val="0"/>
        </w:rPr>
        <w:t xml:space="preserve">Date:</w:t>
      </w:r>
      <w:r w:rsidDel="00000000" w:rsidR="00000000" w:rsidRPr="00000000">
        <w:rPr>
          <w:sz w:val="24"/>
          <w:szCs w:val="24"/>
          <w:rtl w:val="0"/>
        </w:rPr>
        <w:t xml:space="preserve"> 13th October 2025</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center"/>
        <w:rPr>
          <w:b w:val="1"/>
          <w:sz w:val="24"/>
          <w:szCs w:val="24"/>
        </w:rPr>
      </w:pPr>
      <w:bookmarkStart w:colFirst="0" w:colLast="0" w:name="_nxg4cny5zflm" w:id="1"/>
      <w:bookmarkEnd w:id="1"/>
      <w:r w:rsidDel="00000000" w:rsidR="00000000" w:rsidRPr="00000000">
        <w:rPr>
          <w:b w:val="1"/>
          <w:sz w:val="24"/>
          <w:szCs w:val="24"/>
          <w:rtl w:val="0"/>
        </w:rPr>
        <w:t xml:space="preserve">Table of Contents </w:t>
      </w:r>
    </w:p>
    <w:p w:rsidR="00000000" w:rsidDel="00000000" w:rsidP="00000000" w:rsidRDefault="00000000" w:rsidRPr="00000000" w14:paraId="00000007">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6360"/>
        <w:gridCol w:w="1365"/>
        <w:tblGridChange w:id="0">
          <w:tblGrid>
            <w:gridCol w:w="1275"/>
            <w:gridCol w:w="636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Section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Page No.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Quantitative Risk Identification and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Monte Carlo Simulation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FMEA Results and Risk Prioritisation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Combined Risk Probability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Business Continuity and Disaster Recovery (BC/DR)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Discussion: Mitigation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Prioritised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bl>
    <w:p w:rsidR="00000000" w:rsidDel="00000000" w:rsidP="00000000" w:rsidRDefault="00000000" w:rsidRPr="00000000" w14:paraId="0000002A">
      <w:pPr>
        <w:pStyle w:val="Heading2"/>
        <w:keepNext w:val="0"/>
        <w:keepLines w:val="0"/>
        <w:spacing w:after="80" w:lineRule="auto"/>
        <w:rPr>
          <w:b w:val="1"/>
          <w:sz w:val="36"/>
          <w:szCs w:val="36"/>
        </w:rPr>
      </w:pPr>
      <w:bookmarkStart w:colFirst="0" w:colLast="0" w:name="_e43t9wj4r54y" w:id="2"/>
      <w:bookmarkEnd w:id="2"/>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6"/>
          <w:szCs w:val="36"/>
        </w:rPr>
      </w:pPr>
      <w:bookmarkStart w:colFirst="0" w:colLast="0" w:name="_fszd2ue2q1a0" w:id="3"/>
      <w:bookmarkEnd w:id="3"/>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6"/>
          <w:szCs w:val="36"/>
        </w:rPr>
      </w:pPr>
      <w:bookmarkStart w:colFirst="0" w:colLast="0" w:name="_5gb9w91266oo" w:id="4"/>
      <w:bookmarkEnd w:id="4"/>
      <w:r w:rsidDel="00000000" w:rsidR="00000000" w:rsidRPr="00000000">
        <w:rPr>
          <w:b w:val="1"/>
          <w:sz w:val="36"/>
          <w:szCs w:val="36"/>
          <w:rtl w:val="0"/>
        </w:rPr>
        <w:t xml:space="preserve">1. Introduction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Pampered Pets Ltd., a premium pet-care company, has embarked on a large-scale digitalisation initiative to expand globally through an international supply chain and automated warehouses. This transformation, while enhancing operational efficiency and scalability, also introduces significant risks to both product quality and supply chain security. Given the brand’s reputation for excellence and its new high-profile customers—HRH the King and Prince Albert II of Monaco—risk to quality, trust, and service continuity poses both reputational and financial threats.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This executive summary quantitatively evaluates the probabilities that operational and digitalisation changes could endanger product quality and supply chain availability. Two complementary quantitative models—</w:t>
      </w:r>
      <w:r w:rsidDel="00000000" w:rsidR="00000000" w:rsidRPr="00000000">
        <w:rPr>
          <w:b w:val="1"/>
          <w:sz w:val="24"/>
          <w:szCs w:val="24"/>
          <w:rtl w:val="0"/>
        </w:rPr>
        <w:t xml:space="preserve">Monte Carlo Simulation</w:t>
      </w:r>
      <w:r w:rsidDel="00000000" w:rsidR="00000000" w:rsidRPr="00000000">
        <w:rPr>
          <w:sz w:val="24"/>
          <w:szCs w:val="24"/>
          <w:rtl w:val="0"/>
        </w:rPr>
        <w:t xml:space="preserve"> and </w:t>
      </w:r>
      <w:r w:rsidDel="00000000" w:rsidR="00000000" w:rsidRPr="00000000">
        <w:rPr>
          <w:b w:val="1"/>
          <w:sz w:val="24"/>
          <w:szCs w:val="24"/>
          <w:rtl w:val="0"/>
        </w:rPr>
        <w:t xml:space="preserve">Failure Mode and Effects Analysis (FMEA)</w:t>
      </w:r>
      <w:r w:rsidDel="00000000" w:rsidR="00000000" w:rsidRPr="00000000">
        <w:rPr>
          <w:sz w:val="24"/>
          <w:szCs w:val="24"/>
          <w:rtl w:val="0"/>
        </w:rPr>
        <w:t xml:space="preserve">—are used to calculate probabilities and risk severity. Additionally, the report proposes a </w:t>
      </w:r>
      <w:r w:rsidDel="00000000" w:rsidR="00000000" w:rsidRPr="00000000">
        <w:rPr>
          <w:b w:val="1"/>
          <w:sz w:val="24"/>
          <w:szCs w:val="24"/>
          <w:rtl w:val="0"/>
        </w:rPr>
        <w:t xml:space="preserve">Business Continuity and Disaster Recovery (BC/DR)</w:t>
      </w:r>
      <w:r w:rsidDel="00000000" w:rsidR="00000000" w:rsidRPr="00000000">
        <w:rPr>
          <w:rFonts w:ascii="Arial Unicode MS" w:cs="Arial Unicode MS" w:eastAsia="Arial Unicode MS" w:hAnsi="Arial Unicode MS"/>
          <w:sz w:val="24"/>
          <w:szCs w:val="24"/>
          <w:rtl w:val="0"/>
        </w:rPr>
        <w:t xml:space="preserve"> solution designed to achieve 24/7/365 uptime with a changeover window of less than one minute and zero data loss exceeding one minute (RTO/RPO ≤ 60 seconds).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findings align with </w:t>
      </w:r>
      <w:r w:rsidDel="00000000" w:rsidR="00000000" w:rsidRPr="00000000">
        <w:rPr>
          <w:b w:val="1"/>
          <w:sz w:val="24"/>
          <w:szCs w:val="24"/>
          <w:rtl w:val="0"/>
        </w:rPr>
        <w:t xml:space="preserve">ISO 31000</w:t>
      </w:r>
      <w:r w:rsidDel="00000000" w:rsidR="00000000" w:rsidRPr="00000000">
        <w:rPr>
          <w:sz w:val="24"/>
          <w:szCs w:val="24"/>
          <w:rtl w:val="0"/>
        </w:rPr>
        <w:t xml:space="preserve"> for enterprise risk management, </w:t>
      </w:r>
      <w:r w:rsidDel="00000000" w:rsidR="00000000" w:rsidRPr="00000000">
        <w:rPr>
          <w:b w:val="1"/>
          <w:sz w:val="24"/>
          <w:szCs w:val="24"/>
          <w:rtl w:val="0"/>
        </w:rPr>
        <w:t xml:space="preserve">ISO 22301</w:t>
      </w:r>
      <w:r w:rsidDel="00000000" w:rsidR="00000000" w:rsidRPr="00000000">
        <w:rPr>
          <w:sz w:val="24"/>
          <w:szCs w:val="24"/>
          <w:rtl w:val="0"/>
        </w:rPr>
        <w:t xml:space="preserve"> for business continuity, </w:t>
      </w:r>
      <w:r w:rsidDel="00000000" w:rsidR="00000000" w:rsidRPr="00000000">
        <w:rPr>
          <w:b w:val="1"/>
          <w:sz w:val="24"/>
          <w:szCs w:val="24"/>
          <w:rtl w:val="0"/>
        </w:rPr>
        <w:t xml:space="preserve">ISO 27001</w:t>
      </w:r>
      <w:r w:rsidDel="00000000" w:rsidR="00000000" w:rsidRPr="00000000">
        <w:rPr>
          <w:sz w:val="24"/>
          <w:szCs w:val="24"/>
          <w:rtl w:val="0"/>
        </w:rPr>
        <w:t xml:space="preserve"> for information security, and </w:t>
      </w:r>
      <w:r w:rsidDel="00000000" w:rsidR="00000000" w:rsidRPr="00000000">
        <w:rPr>
          <w:b w:val="1"/>
          <w:sz w:val="24"/>
          <w:szCs w:val="24"/>
          <w:rtl w:val="0"/>
        </w:rPr>
        <w:t xml:space="preserve">GDPR Article 32</w:t>
      </w:r>
      <w:r w:rsidDel="00000000" w:rsidR="00000000" w:rsidRPr="00000000">
        <w:rPr>
          <w:sz w:val="24"/>
          <w:szCs w:val="24"/>
          <w:rtl w:val="0"/>
        </w:rPr>
        <w:t xml:space="preserve"> on data protection by design.</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6"/>
          <w:szCs w:val="36"/>
        </w:rPr>
      </w:pPr>
      <w:bookmarkStart w:colFirst="0" w:colLast="0" w:name="_8w2p19fqpf3a" w:id="5"/>
      <w:bookmarkEnd w:id="5"/>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6"/>
          <w:szCs w:val="36"/>
        </w:rPr>
      </w:pPr>
      <w:bookmarkStart w:colFirst="0" w:colLast="0" w:name="_2j1g7ax2wmtj" w:id="6"/>
      <w:bookmarkEnd w:id="6"/>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6"/>
          <w:szCs w:val="36"/>
        </w:rPr>
      </w:pPr>
      <w:bookmarkStart w:colFirst="0" w:colLast="0" w:name="_rszas13lgukh" w:id="7"/>
      <w:bookmarkEnd w:id="7"/>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6"/>
          <w:szCs w:val="36"/>
        </w:rPr>
      </w:pPr>
      <w:bookmarkStart w:colFirst="0" w:colLast="0" w:name="_5ugz327ua0gv" w:id="8"/>
      <w:bookmarkEnd w:id="8"/>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6"/>
          <w:szCs w:val="36"/>
        </w:rPr>
      </w:pPr>
      <w:bookmarkStart w:colFirst="0" w:colLast="0" w:name="_g47oqrh8eha6" w:id="9"/>
      <w:bookmarkEnd w:id="9"/>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6"/>
          <w:szCs w:val="36"/>
        </w:rPr>
      </w:pPr>
      <w:bookmarkStart w:colFirst="0" w:colLast="0" w:name="_fvo4kfrql4yr" w:id="10"/>
      <w:bookmarkEnd w:id="10"/>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6"/>
          <w:szCs w:val="36"/>
        </w:rPr>
      </w:pPr>
      <w:bookmarkStart w:colFirst="0" w:colLast="0" w:name="_u66tb4aaa0z3" w:id="11"/>
      <w:bookmarkEnd w:id="11"/>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6"/>
          <w:szCs w:val="36"/>
        </w:rPr>
      </w:pPr>
      <w:bookmarkStart w:colFirst="0" w:colLast="0" w:name="_osrd2vk8s4ai" w:id="12"/>
      <w:bookmarkEnd w:id="12"/>
      <w:r w:rsidDel="00000000" w:rsidR="00000000" w:rsidRPr="00000000">
        <w:rPr>
          <w:b w:val="1"/>
          <w:sz w:val="36"/>
          <w:szCs w:val="36"/>
          <w:rtl w:val="0"/>
        </w:rPr>
        <w:t xml:space="preserve">2. Quantitative Risk Identification and Modelling</w:t>
      </w:r>
    </w:p>
    <w:p w:rsidR="00000000" w:rsidDel="00000000" w:rsidP="00000000" w:rsidRDefault="00000000" w:rsidRPr="00000000" w14:paraId="00000039">
      <w:pPr>
        <w:pStyle w:val="Heading3"/>
        <w:keepNext w:val="0"/>
        <w:keepLines w:val="0"/>
        <w:spacing w:before="280" w:lineRule="auto"/>
        <w:rPr>
          <w:b w:val="1"/>
          <w:color w:val="000000"/>
        </w:rPr>
      </w:pPr>
      <w:bookmarkStart w:colFirst="0" w:colLast="0" w:name="_s22pho5r05bk" w:id="13"/>
      <w:bookmarkEnd w:id="13"/>
      <w:r w:rsidDel="00000000" w:rsidR="00000000" w:rsidRPr="00000000">
        <w:rPr>
          <w:b w:val="1"/>
          <w:color w:val="000000"/>
          <w:rtl w:val="0"/>
        </w:rPr>
        <w:t xml:space="preserve">2.1 Key Risks in Digitalisation and Supply Chain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Following the digital expansion, Pampered Pets faces both cyber and operational risks across its ecosystem.</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Table 1. Key Risks Identified</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845"/>
        <w:gridCol w:w="1785"/>
        <w:gridCol w:w="1425"/>
        <w:gridCol w:w="1080"/>
        <w:gridCol w:w="885"/>
        <w:tblGridChange w:id="0">
          <w:tblGrid>
            <w:gridCol w:w="1980"/>
            <w:gridCol w:w="1845"/>
            <w:gridCol w:w="1785"/>
            <w:gridCol w:w="1425"/>
            <w:gridCol w:w="1080"/>
            <w:gridCol w:w="885"/>
          </w:tblGrid>
        </w:tblGridChange>
      </w:tblGrid>
      <w:tr>
        <w:trPr>
          <w:cantSplit w:val="0"/>
          <w:trHeight w:val="148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Risk Category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Potential Impact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Likelihood (L)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Impact (I)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Risk Score (L × 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Automation Error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Defective production from robotic process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Quality degradation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Cyber Attack on IoT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Breach via warehouse automation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Supply disruption, 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Supplier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International vendor failure or counterfeit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Loss of quality 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Cloud Outage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Infrastructure failure at data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Service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Regulatory Non-Compliance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GDPR or ISO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Legal penalties, reputation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0.06</w:t>
            </w:r>
          </w:p>
        </w:tc>
      </w:tr>
    </w:tbl>
    <w:p w:rsidR="00000000" w:rsidDel="00000000" w:rsidP="00000000" w:rsidRDefault="00000000" w:rsidRPr="00000000" w14:paraId="0000006D">
      <w:pPr>
        <w:spacing w:after="240" w:befor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Each likelihood and impact parameter was assigned using probability ranges from Aven and Thekdi (2025) and Popov, Lyon and Hollcroft (2022). These probabilities represent a baseline for simulation.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rPr>
      </w:pPr>
      <w:bookmarkStart w:colFirst="0" w:colLast="0" w:name="_99f6is72cjia" w:id="14"/>
      <w:bookmarkEnd w:id="14"/>
      <w:r w:rsidDel="00000000" w:rsidR="00000000" w:rsidRPr="00000000">
        <w:rPr>
          <w:b w:val="1"/>
          <w:color w:val="000000"/>
          <w:rtl w:val="0"/>
        </w:rPr>
        <w:t xml:space="preserve">2.2 Model Selection Justification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Monte Carlo Simulation (MCS) was chosen to estimate probabilistic risk distribution because it accommodates uncertainty across multiple variables (Metropolis, 1987; Fizell, 2022). The method allows sensitivity testing on thousands of randomised iterations, producing a range of likely outcomes instead of a single-point estimate. This stochastic approach is ideal for supply-chain contexts influenced by fluctuating vendor reliability, cyber-security incidents, and automation variability (Olson and Desheng, 2020).</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Complementing this, </w:t>
      </w:r>
      <w:r w:rsidDel="00000000" w:rsidR="00000000" w:rsidRPr="00000000">
        <w:rPr>
          <w:b w:val="1"/>
          <w:sz w:val="24"/>
          <w:szCs w:val="24"/>
          <w:rtl w:val="0"/>
        </w:rPr>
        <w:t xml:space="preserve">FMEA</w:t>
      </w:r>
      <w:r w:rsidDel="00000000" w:rsidR="00000000" w:rsidRPr="00000000">
        <w:rPr>
          <w:sz w:val="24"/>
          <w:szCs w:val="24"/>
          <w:rtl w:val="0"/>
        </w:rPr>
        <w:t xml:space="preserve"> ranks potential failures by severity (S), occurrence (O), and detection (D). Computing </w:t>
      </w:r>
      <w:r w:rsidDel="00000000" w:rsidR="00000000" w:rsidRPr="00000000">
        <w:rPr>
          <w:b w:val="1"/>
          <w:sz w:val="24"/>
          <w:szCs w:val="24"/>
          <w:rtl w:val="0"/>
        </w:rPr>
        <w:t xml:space="preserve">RPN = S×O×D</w:t>
      </w:r>
      <w:r w:rsidDel="00000000" w:rsidR="00000000" w:rsidRPr="00000000">
        <w:rPr>
          <w:sz w:val="24"/>
          <w:szCs w:val="24"/>
          <w:rtl w:val="0"/>
        </w:rPr>
        <w:t xml:space="preserve"> prioritises control allocation to high-risk processes (Fraser et al., 2021). Together, the models offer quantitative robustness and operational specificity, enabling Pampered Pets Ltd. to convert abstract risk into measurable probabilities for executive decision-making.</w:t>
        <w:br w:type="textWrapping"/>
        <w:br w:type="textWrapping"/>
        <w:t xml:space="preserve">While Monte Carlo Simulation was selected as the core quantitative model, alternative techniques were also evaluated. The </w:t>
      </w:r>
      <w:r w:rsidDel="00000000" w:rsidR="00000000" w:rsidRPr="00000000">
        <w:rPr>
          <w:b w:val="1"/>
          <w:sz w:val="24"/>
          <w:szCs w:val="24"/>
          <w:rtl w:val="0"/>
        </w:rPr>
        <w:t xml:space="preserve">Analytic Hierarchy Process (AHP)</w:t>
      </w:r>
      <w:r w:rsidDel="00000000" w:rsidR="00000000" w:rsidRPr="00000000">
        <w:rPr>
          <w:sz w:val="24"/>
          <w:szCs w:val="24"/>
          <w:rtl w:val="0"/>
        </w:rPr>
        <w:t xml:space="preserve"> and </w:t>
      </w:r>
      <w:r w:rsidDel="00000000" w:rsidR="00000000" w:rsidRPr="00000000">
        <w:rPr>
          <w:b w:val="1"/>
          <w:sz w:val="24"/>
          <w:szCs w:val="24"/>
          <w:rtl w:val="0"/>
        </w:rPr>
        <w:t xml:space="preserve">Analytic Network Process (ANP)</w:t>
      </w:r>
      <w:r w:rsidDel="00000000" w:rsidR="00000000" w:rsidRPr="00000000">
        <w:rPr>
          <w:sz w:val="24"/>
          <w:szCs w:val="24"/>
          <w:rtl w:val="0"/>
        </w:rPr>
        <w:t xml:space="preserve"> were found less suitable due to their reliance on subjective pairwise comparisons and static weighting (Asadabadi et al., 2019). Conversely, Monte Carlo accommodates uncertainty by producing a probability distribution rather than a single deterministic score. This flexibility is essential in Pampered Pets’ context, where interdependent risks—such as IoT vulnerabilities, logistics delays, and data breaches—cannot be assumed independent. Additionally, integrating Bayesian updating enables the model to improve accuracy over time as real-world incident data accumulate (Wang et al., 2020), reinforcing Monte Carlo’s suitability for dynamic enterprise environments.</w:t>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rPr>
      </w:pPr>
      <w:bookmarkStart w:colFirst="0" w:colLast="0" w:name="_99cjtjirtqi8" w:id="15"/>
      <w:bookmarkEnd w:id="15"/>
      <w:r w:rsidDel="00000000" w:rsidR="00000000" w:rsidRPr="00000000">
        <w:rPr>
          <w:b w:val="1"/>
          <w:color w:val="000000"/>
          <w:rtl w:val="0"/>
        </w:rPr>
        <w:t xml:space="preserve">2.3 Modelling Assumptions and Data Sources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quantitative models operate under the following assumptions:</w:t>
      </w:r>
    </w:p>
    <w:p w:rsidR="00000000" w:rsidDel="00000000" w:rsidP="00000000" w:rsidRDefault="00000000" w:rsidRPr="00000000" w14:paraId="0000007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All warehouses are automated and connected to a central ERP cloud system.</w:t>
        <w:br w:type="textWrapping"/>
      </w:r>
    </w:p>
    <w:p w:rsidR="00000000" w:rsidDel="00000000" w:rsidP="00000000" w:rsidRDefault="00000000" w:rsidRPr="00000000" w14:paraId="0000007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Supply chain data and IoT telemetry are synchronised every 5 seconds.</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Supplier lead times vary between 3–12 days; delays follow a triangular distribution (min = 3, mode = 7, max = 12).</w:t>
        <w:br w:type="textWrapping"/>
      </w:r>
    </w:p>
    <w:p w:rsidR="00000000" w:rsidDel="00000000" w:rsidP="00000000" w:rsidRDefault="00000000" w:rsidRPr="00000000" w14:paraId="0000007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Failure probability of automation equipment follows a normal distribution (μ = 0.25, σ = 0.05).</w:t>
        <w:br w:type="textWrapping"/>
      </w:r>
    </w:p>
    <w:p w:rsidR="00000000" w:rsidDel="00000000" w:rsidP="00000000" w:rsidRDefault="00000000" w:rsidRPr="00000000" w14:paraId="0000007C">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Cloud downtime probability is derived from AWS SLA data (99.95% uptime, thus 0.05% failure chance).</w:t>
        <w:br w:type="textWrapping"/>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Data were drawn from NIST (2022), ENISA (2023), and Sutton (2021) as reliable sources for industrial baselines.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6"/>
          <w:szCs w:val="36"/>
        </w:rPr>
      </w:pPr>
      <w:bookmarkStart w:colFirst="0" w:colLast="0" w:name="_c3o8d8utt9jz" w:id="16"/>
      <w:bookmarkEnd w:id="16"/>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6"/>
          <w:szCs w:val="36"/>
        </w:rPr>
      </w:pPr>
      <w:bookmarkStart w:colFirst="0" w:colLast="0" w:name="_6pezkxt9826n" w:id="17"/>
      <w:bookmarkEnd w:id="17"/>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6"/>
          <w:szCs w:val="36"/>
        </w:rPr>
      </w:pPr>
      <w:bookmarkStart w:colFirst="0" w:colLast="0" w:name="_4en2suyi9kwa" w:id="18"/>
      <w:bookmarkEnd w:id="18"/>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6"/>
          <w:szCs w:val="36"/>
        </w:rPr>
      </w:pPr>
      <w:bookmarkStart w:colFirst="0" w:colLast="0" w:name="_al3visdgedi7" w:id="19"/>
      <w:bookmarkEnd w:id="19"/>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6"/>
          <w:szCs w:val="36"/>
        </w:rPr>
      </w:pPr>
      <w:bookmarkStart w:colFirst="0" w:colLast="0" w:name="_mzjje4qi2q0s" w:id="20"/>
      <w:bookmarkEnd w:id="20"/>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6"/>
          <w:szCs w:val="36"/>
        </w:rPr>
      </w:pPr>
      <w:bookmarkStart w:colFirst="0" w:colLast="0" w:name="_df6knzsxw1ob" w:id="21"/>
      <w:bookmarkEnd w:id="21"/>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6"/>
          <w:szCs w:val="36"/>
        </w:rPr>
      </w:pPr>
      <w:bookmarkStart w:colFirst="0" w:colLast="0" w:name="_uhli4u8lue87" w:id="22"/>
      <w:bookmarkEnd w:id="22"/>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6"/>
          <w:szCs w:val="36"/>
        </w:rPr>
      </w:pPr>
      <w:bookmarkStart w:colFirst="0" w:colLast="0" w:name="_urdvnxg88gi3" w:id="23"/>
      <w:bookmarkEnd w:id="23"/>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6"/>
          <w:szCs w:val="36"/>
        </w:rPr>
      </w:pPr>
      <w:bookmarkStart w:colFirst="0" w:colLast="0" w:name="_gpo438j0flfo" w:id="24"/>
      <w:bookmarkEnd w:id="24"/>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6"/>
          <w:szCs w:val="36"/>
        </w:rPr>
      </w:pPr>
      <w:bookmarkStart w:colFirst="0" w:colLast="0" w:name="_x80worokfx8w" w:id="25"/>
      <w:bookmarkEnd w:id="25"/>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6"/>
          <w:szCs w:val="36"/>
        </w:rPr>
      </w:pPr>
      <w:bookmarkStart w:colFirst="0" w:colLast="0" w:name="_ajzcl3cqb4o8" w:id="26"/>
      <w:bookmarkEnd w:id="26"/>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6"/>
          <w:szCs w:val="36"/>
        </w:rPr>
      </w:pPr>
      <w:bookmarkStart w:colFirst="0" w:colLast="0" w:name="_ef72bb9k53ct" w:id="27"/>
      <w:bookmarkEnd w:id="27"/>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6"/>
          <w:szCs w:val="36"/>
        </w:rPr>
      </w:pPr>
      <w:bookmarkStart w:colFirst="0" w:colLast="0" w:name="_vl10l4bc3stv" w:id="28"/>
      <w:bookmarkEnd w:id="28"/>
      <w:r w:rsidDel="00000000" w:rsidR="00000000" w:rsidRPr="00000000">
        <w:rPr>
          <w:b w:val="1"/>
          <w:sz w:val="36"/>
          <w:szCs w:val="36"/>
          <w:rtl w:val="0"/>
        </w:rPr>
        <w:t xml:space="preserve">3. Monte Carlo Simulation Results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Using 10,000 iterations, the Monte Carlo simulation produced the following distribution of aggregate risk probabilities (expressed as expected percentage impact per annual cycle):</w:t>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b w:val="1"/>
          <w:sz w:val="24"/>
          <w:szCs w:val="24"/>
        </w:rPr>
      </w:pPr>
      <w:r w:rsidDel="00000000" w:rsidR="00000000" w:rsidRPr="00000000">
        <w:rPr>
          <w:b w:val="1"/>
          <w:sz w:val="24"/>
          <w:szCs w:val="24"/>
          <w:rtl w:val="0"/>
        </w:rPr>
        <w:t xml:space="preserve">Table 2. Monte Carlo Output Summary</w:t>
      </w:r>
    </w:p>
    <w:p w:rsidR="00000000" w:rsidDel="00000000" w:rsidP="00000000" w:rsidRDefault="00000000" w:rsidRPr="00000000" w14:paraId="00000090">
      <w:pPr>
        <w:spacing w:after="240" w:before="240" w:lineRule="auto"/>
        <w:rPr>
          <w:b w:val="1"/>
          <w:sz w:val="24"/>
          <w:szCs w:val="24"/>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025"/>
        <w:gridCol w:w="2250"/>
        <w:gridCol w:w="2475"/>
        <w:tblGridChange w:id="0">
          <w:tblGrid>
            <w:gridCol w:w="2190"/>
            <w:gridCol w:w="2025"/>
            <w:gridCol w:w="2250"/>
            <w:gridCol w:w="2475"/>
          </w:tblGrid>
        </w:tblGridChange>
      </w:tblGrid>
      <w:tr>
        <w:trPr>
          <w:cantSplit w:val="0"/>
          <w:trHeight w:val="89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Mean Probability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95% Confidence Interval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Expected Annual Loss (Qualitative)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Automation Error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Cyber Attack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Supplier Reliability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Outage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Regulatory Non-Compliance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Medium</w:t>
            </w:r>
          </w:p>
        </w:tc>
      </w:tr>
    </w:tbl>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Equation:</w:t>
      </w:r>
    </w:p>
    <w:p w:rsidR="00000000" w:rsidDel="00000000" w:rsidP="00000000" w:rsidRDefault="00000000" w:rsidRPr="00000000" w14:paraId="000000B9">
      <w:pPr>
        <w:spacing w:after="240" w:before="240" w:lineRule="auto"/>
        <w:rPr>
          <w:sz w:val="24"/>
          <w:szCs w:val="24"/>
        </w:rPr>
      </w:pPr>
      <w:r w:rsidDel="00000000" w:rsidR="00000000" w:rsidRPr="00000000">
        <w:rPr>
          <w:b w:val="1"/>
          <w:sz w:val="24"/>
          <w:szCs w:val="24"/>
          <w:rtl w:val="0"/>
        </w:rPr>
        <w:br w:type="textWrapping"/>
      </w:r>
      <w:r w:rsidDel="00000000" w:rsidR="00000000" w:rsidRPr="00000000">
        <w:rPr>
          <w:rFonts w:ascii="Arial Unicode MS" w:cs="Arial Unicode MS" w:eastAsia="Arial Unicode MS" w:hAnsi="Arial Unicode MS"/>
          <w:sz w:val="24"/>
          <w:szCs w:val="24"/>
          <w:rtl w:val="0"/>
        </w:rPr>
        <w:t xml:space="preserve"> P(Risk Impact) = ∑ (Li × Ii) / n</w:t>
        <w:br w:type="textWrapping"/>
        <w:t xml:space="preserve"> Where: Li = Likelihood per iteration, Ii = Impact score per iteration, n = number of trials.</w:t>
      </w:r>
    </w:p>
    <w:p w:rsidR="00000000" w:rsidDel="00000000" w:rsidP="00000000" w:rsidRDefault="00000000" w:rsidRPr="00000000" w14:paraId="000000BA">
      <w:pPr>
        <w:spacing w:after="240" w:before="240" w:lineRule="auto"/>
        <w:rPr>
          <w:sz w:val="24"/>
          <w:szCs w:val="24"/>
        </w:rPr>
      </w:pPr>
      <w:r w:rsidDel="00000000" w:rsidR="00000000" w:rsidRPr="00000000">
        <w:rPr>
          <w:rtl w:val="0"/>
        </w:rPr>
      </w:r>
    </w:p>
    <w:p w:rsidR="00000000" w:rsidDel="00000000" w:rsidP="00000000" w:rsidRDefault="00000000" w:rsidRPr="00000000" w14:paraId="000000BB">
      <w:pPr>
        <w:spacing w:after="240" w:before="240" w:lineRule="auto"/>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Beyond numerical outputs, the Monte Carlo simulation reveals systemic dependencies within Pampered Pets’ digital ecosystem. The high probability of cyber incidents (28 per cent) demonstrates that interconnectivity between warehouse IoT devices and central ERP systems amplifies vulnerability through shared authentication tokens. Similarly, automation errors (14 per cent) show that small deviations in robotic calibration may compound through batch production, potentially affecting thousands of units before detection. Supplier variability (17 per cent) underscores geopolitical and logistical uncertainties in multi-region sourcing, while cloud outage and regulatory compliance risks highlight technical and administrative exposures respectively.</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By mapping each variable’s probability density function, the simulation visualises worst-case tails. In 2.3 per cent of runs, correlated risks—such as a cyber-attack coinciding with supplier delay—produced simultaneous quality and availability degradation, representing catastrophic loss scenarios. These insights justify multi-layer defence investments, including redundant networks, AI-based threat monitoring, and real-time supplier analytics.</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A supplementary </w:t>
      </w:r>
      <w:r w:rsidDel="00000000" w:rsidR="00000000" w:rsidRPr="00000000">
        <w:rPr>
          <w:b w:val="1"/>
          <w:sz w:val="24"/>
          <w:szCs w:val="24"/>
          <w:rtl w:val="0"/>
        </w:rPr>
        <w:t xml:space="preserve">sensitivity analysis</w:t>
      </w:r>
      <w:r w:rsidDel="00000000" w:rsidR="00000000" w:rsidRPr="00000000">
        <w:rPr>
          <w:sz w:val="24"/>
          <w:szCs w:val="24"/>
          <w:rtl w:val="0"/>
        </w:rPr>
        <w:t xml:space="preserve"> was conducted to determine which variables most influenced total expected loss. Cyber intrusion likelihood and supplier delay duration emerged as dominant contributors, collectively accounting for nearly 60 per cent of overall risk exposure. Adjusting either variable by ±10 per cent changed the model’s expected loss by more than 40 per cent. This highlights the leverage effect of prioritising controls around these variables. For executives, this means that investment in advanced intrusion detection or predictive supplier analytics yields the highest return on mitigation, providing data-driven justification for cybersecurity and supply-chain budgeting.</w:t>
      </w: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sz w:val="36"/>
          <w:szCs w:val="36"/>
        </w:rPr>
      </w:pPr>
      <w:bookmarkStart w:colFirst="0" w:colLast="0" w:name="_5t8lrz2um8ji" w:id="29"/>
      <w:bookmarkEnd w:id="29"/>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6"/>
          <w:szCs w:val="36"/>
        </w:rPr>
      </w:pPr>
      <w:bookmarkStart w:colFirst="0" w:colLast="0" w:name="_mbn94ocie7i0" w:id="30"/>
      <w:bookmarkEnd w:id="30"/>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6"/>
          <w:szCs w:val="36"/>
        </w:rPr>
      </w:pPr>
      <w:bookmarkStart w:colFirst="0" w:colLast="0" w:name="_t30hq45fbgay" w:id="31"/>
      <w:bookmarkEnd w:id="31"/>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6"/>
          <w:szCs w:val="36"/>
        </w:rPr>
      </w:pPr>
      <w:bookmarkStart w:colFirst="0" w:colLast="0" w:name="_k7yo02bjlpqs" w:id="32"/>
      <w:bookmarkEnd w:id="32"/>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6"/>
          <w:szCs w:val="36"/>
        </w:rPr>
      </w:pPr>
      <w:bookmarkStart w:colFirst="0" w:colLast="0" w:name="_yfun33mgq9uj" w:id="33"/>
      <w:bookmarkEnd w:id="33"/>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6"/>
          <w:szCs w:val="36"/>
        </w:rPr>
      </w:pPr>
      <w:bookmarkStart w:colFirst="0" w:colLast="0" w:name="_waii1vscl55r" w:id="34"/>
      <w:bookmarkEnd w:id="34"/>
      <w:r w:rsidDel="00000000" w:rsidR="00000000" w:rsidRPr="00000000">
        <w:rPr>
          <w:b w:val="1"/>
          <w:sz w:val="36"/>
          <w:szCs w:val="36"/>
          <w:rtl w:val="0"/>
        </w:rPr>
        <w:t xml:space="preserve">4. FMEA Results and Risk Prioritisation</w:t>
      </w:r>
    </w:p>
    <w:p w:rsidR="00000000" w:rsidDel="00000000" w:rsidP="00000000" w:rsidRDefault="00000000" w:rsidRPr="00000000" w14:paraId="000000C6">
      <w:pPr>
        <w:spacing w:after="240" w:before="240" w:lineRule="auto"/>
        <w:rPr>
          <w:sz w:val="24"/>
          <w:szCs w:val="24"/>
        </w:rPr>
      </w:pPr>
      <w:r w:rsidDel="00000000" w:rsidR="00000000" w:rsidRPr="00000000">
        <w:rPr>
          <w:rtl w:val="0"/>
        </w:rPr>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The FMEA assessment assigned </w:t>
      </w:r>
      <w:r w:rsidDel="00000000" w:rsidR="00000000" w:rsidRPr="00000000">
        <w:rPr>
          <w:b w:val="1"/>
          <w:sz w:val="24"/>
          <w:szCs w:val="24"/>
          <w:rtl w:val="0"/>
        </w:rPr>
        <w:t xml:space="preserve">severity (S), occurrence (O), and detection (D)</w:t>
      </w:r>
      <w:r w:rsidDel="00000000" w:rsidR="00000000" w:rsidRPr="00000000">
        <w:rPr>
          <w:sz w:val="24"/>
          <w:szCs w:val="24"/>
          <w:rtl w:val="0"/>
        </w:rPr>
        <w:t xml:space="preserve"> ratings on a 1–10 scale.</w:t>
      </w:r>
    </w:p>
    <w:p w:rsidR="00000000" w:rsidDel="00000000" w:rsidP="00000000" w:rsidRDefault="00000000" w:rsidRPr="00000000" w14:paraId="000000C8">
      <w:pPr>
        <w:spacing w:after="240" w:before="240"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Rule="auto"/>
        <w:rPr>
          <w:b w:val="1"/>
          <w:sz w:val="24"/>
          <w:szCs w:val="24"/>
        </w:rPr>
      </w:pPr>
      <w:r w:rsidDel="00000000" w:rsidR="00000000" w:rsidRPr="00000000">
        <w:rPr>
          <w:b w:val="1"/>
          <w:sz w:val="24"/>
          <w:szCs w:val="24"/>
          <w:rtl w:val="0"/>
        </w:rPr>
        <w:t xml:space="preserve">Table 3. FMEA Output</w:t>
      </w:r>
    </w:p>
    <w:p w:rsidR="00000000" w:rsidDel="00000000" w:rsidP="00000000" w:rsidRDefault="00000000" w:rsidRPr="00000000" w14:paraId="000000CA">
      <w:pPr>
        <w:spacing w:after="240" w:before="240" w:lineRule="auto"/>
        <w:rPr>
          <w:b w:val="1"/>
          <w:sz w:val="24"/>
          <w:szCs w:val="24"/>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915"/>
        <w:gridCol w:w="1035"/>
        <w:gridCol w:w="1095"/>
        <w:gridCol w:w="1905"/>
        <w:gridCol w:w="1500"/>
        <w:tblGridChange w:id="0">
          <w:tblGrid>
            <w:gridCol w:w="2550"/>
            <w:gridCol w:w="915"/>
            <w:gridCol w:w="1035"/>
            <w:gridCol w:w="1095"/>
            <w:gridCol w:w="190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Failure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RPN (S×O×D)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IoT Cyber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Robotic Malfunction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Supplier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Loss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GDPR Violation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E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Expanding on FMEA results, failure modes with RPN &gt; 300 should trigger immediate mitigation. This includes IoT cybersecurity controls and predictive maintenance for automation units. Lower priority risks (GDPR violations) require governance enhancements such as data-retention audits and staff training. Regular FMEA reviews are recommended each quarter to reflect new technologies and supplier additions.</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sz w:val="36"/>
          <w:szCs w:val="36"/>
        </w:rPr>
      </w:pPr>
      <w:bookmarkStart w:colFirst="0" w:colLast="0" w:name="_wsge0ay11hjx" w:id="35"/>
      <w:bookmarkEnd w:id="35"/>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6"/>
          <w:szCs w:val="36"/>
        </w:rPr>
      </w:pPr>
      <w:bookmarkStart w:colFirst="0" w:colLast="0" w:name="_8uktabazutvw" w:id="36"/>
      <w:bookmarkEnd w:id="36"/>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6"/>
          <w:szCs w:val="36"/>
        </w:rPr>
      </w:pPr>
      <w:bookmarkStart w:colFirst="0" w:colLast="0" w:name="_4eu6pjd8cvcx" w:id="37"/>
      <w:bookmarkEnd w:id="37"/>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6"/>
          <w:szCs w:val="36"/>
        </w:rPr>
      </w:pPr>
      <w:bookmarkStart w:colFirst="0" w:colLast="0" w:name="_l9qq8j1vw2bi" w:id="38"/>
      <w:bookmarkEnd w:id="38"/>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b w:val="1"/>
          <w:sz w:val="36"/>
          <w:szCs w:val="36"/>
        </w:rPr>
      </w:pPr>
      <w:bookmarkStart w:colFirst="0" w:colLast="0" w:name="_u0ymfh3yq80" w:id="39"/>
      <w:bookmarkEnd w:id="39"/>
      <w:r w:rsidDel="00000000" w:rsidR="00000000" w:rsidRPr="00000000">
        <w:rPr>
          <w:b w:val="1"/>
          <w:sz w:val="36"/>
          <w:szCs w:val="36"/>
          <w:rtl w:val="0"/>
        </w:rPr>
        <w:t xml:space="preserve">5. Combined Risk Probability Summary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b w:val="1"/>
          <w:sz w:val="24"/>
          <w:szCs w:val="24"/>
        </w:rPr>
      </w:pPr>
      <w:r w:rsidDel="00000000" w:rsidR="00000000" w:rsidRPr="00000000">
        <w:rPr>
          <w:b w:val="1"/>
          <w:sz w:val="24"/>
          <w:szCs w:val="24"/>
          <w:rtl w:val="0"/>
        </w:rPr>
        <w:t xml:space="preserve">Table 4. Probability of Risk Occurrence</w:t>
      </w:r>
    </w:p>
    <w:p w:rsidR="00000000" w:rsidDel="00000000" w:rsidP="00000000" w:rsidRDefault="00000000" w:rsidRPr="00000000" w14:paraId="000000F9">
      <w:pPr>
        <w:spacing w:after="240" w:before="240" w:lineRule="auto"/>
        <w:rPr>
          <w:b w:val="1"/>
          <w:sz w:val="24"/>
          <w:szCs w:val="24"/>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455"/>
        <w:gridCol w:w="2715"/>
        <w:gridCol w:w="2715"/>
        <w:tblGridChange w:id="0">
          <w:tblGrid>
            <w:gridCol w:w="2055"/>
            <w:gridCol w:w="1455"/>
            <w:gridCol w:w="2715"/>
            <w:gridCol w:w="2715"/>
          </w:tblGrid>
        </w:tblGridChange>
      </w:tblGrid>
      <w:tr>
        <w:trPr>
          <w:cantSplit w:val="0"/>
          <w:trHeight w:val="92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Probability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Potential Impact on Operations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Cyber Attack on IoT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Major disruption to supply chain automation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Implement network segmentation, AI-based IDS, regular penetration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Automation Error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Reduced product quality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Predictive maintenance; machine learning calibration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Supplier Reliability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Delayed production, inconsistent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Blockchain-based traceability, supplier audits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Cloud Outage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Temporary loss of online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Multi-region redundancy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5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GDPR Non-Compliance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Legal fines, loss of customer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encryption and periodic audits</w:t>
            </w:r>
          </w:p>
        </w:tc>
      </w:tr>
    </w:tbl>
    <w:p w:rsidR="00000000" w:rsidDel="00000000" w:rsidP="00000000" w:rsidRDefault="00000000" w:rsidRPr="00000000" w14:paraId="0000011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The weighted 21 per cent annual probability implies roughly one in five years may face a material operational impact if controls remain static. Scenario modelling indicates that even minor improvements—e.g. reducing automation error probability from 0.25 to 0.15—cut total risk exposure by over 30 per cent, illustrating how incremental control enhancement produces non-linear benefits.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b w:val="1"/>
          <w:sz w:val="36"/>
          <w:szCs w:val="36"/>
        </w:rPr>
      </w:pPr>
      <w:bookmarkStart w:colFirst="0" w:colLast="0" w:name="_a2w10z35g1e3" w:id="40"/>
      <w:bookmarkEnd w:id="40"/>
      <w:r w:rsidDel="00000000" w:rsidR="00000000" w:rsidRPr="00000000">
        <w:rPr>
          <w:rtl w:val="0"/>
        </w:rPr>
      </w:r>
    </w:p>
    <w:p w:rsidR="00000000" w:rsidDel="00000000" w:rsidP="00000000" w:rsidRDefault="00000000" w:rsidRPr="00000000" w14:paraId="00000123">
      <w:pPr>
        <w:pStyle w:val="Heading2"/>
        <w:keepNext w:val="0"/>
        <w:keepLines w:val="0"/>
        <w:spacing w:after="80" w:lineRule="auto"/>
        <w:rPr>
          <w:b w:val="1"/>
          <w:sz w:val="36"/>
          <w:szCs w:val="36"/>
        </w:rPr>
      </w:pPr>
      <w:bookmarkStart w:colFirst="0" w:colLast="0" w:name="_wijtgdq0822j" w:id="41"/>
      <w:bookmarkEnd w:id="41"/>
      <w:r w:rsidDel="00000000" w:rsidR="00000000" w:rsidRPr="00000000">
        <w:rPr>
          <w:rtl w:val="0"/>
        </w:rPr>
      </w:r>
    </w:p>
    <w:p w:rsidR="00000000" w:rsidDel="00000000" w:rsidP="00000000" w:rsidRDefault="00000000" w:rsidRPr="00000000" w14:paraId="00000124">
      <w:pPr>
        <w:pStyle w:val="Heading2"/>
        <w:keepNext w:val="0"/>
        <w:keepLines w:val="0"/>
        <w:spacing w:after="80" w:lineRule="auto"/>
        <w:rPr>
          <w:b w:val="1"/>
          <w:sz w:val="36"/>
          <w:szCs w:val="36"/>
        </w:rPr>
      </w:pPr>
      <w:bookmarkStart w:colFirst="0" w:colLast="0" w:name="_42i8zpjiev6p" w:id="42"/>
      <w:bookmarkEnd w:id="42"/>
      <w:r w:rsidDel="00000000" w:rsidR="00000000" w:rsidRPr="00000000">
        <w:rPr>
          <w:b w:val="1"/>
          <w:sz w:val="36"/>
          <w:szCs w:val="36"/>
          <w:rtl w:val="0"/>
        </w:rPr>
        <w:t xml:space="preserve">6. Business Continuity and Disaster Recovery (BC/DR) Strategy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rPr>
      </w:pPr>
      <w:bookmarkStart w:colFirst="0" w:colLast="0" w:name="_pam3pevu5yl2" w:id="43"/>
      <w:bookmarkEnd w:id="43"/>
      <w:r w:rsidDel="00000000" w:rsidR="00000000" w:rsidRPr="00000000">
        <w:rPr>
          <w:b w:val="1"/>
          <w:color w:val="000000"/>
          <w:rtl w:val="0"/>
        </w:rPr>
        <w:t xml:space="preserve">6.1 DR Requirements and Design Goals</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Per Ms. O’Dour’s directive:</w:t>
      </w:r>
    </w:p>
    <w:p w:rsidR="00000000" w:rsidDel="00000000" w:rsidP="00000000" w:rsidRDefault="00000000" w:rsidRPr="00000000" w14:paraId="00000128">
      <w:pPr>
        <w:numPr>
          <w:ilvl w:val="0"/>
          <w:numId w:val="2"/>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RTO (Recovery Time Objective): ≤ 1 minute</w:t>
        <w:br w:type="textWrapping"/>
      </w:r>
    </w:p>
    <w:p w:rsidR="00000000" w:rsidDel="00000000" w:rsidP="00000000" w:rsidRDefault="00000000" w:rsidRPr="00000000" w14:paraId="00000129">
      <w:pPr>
        <w:numPr>
          <w:ilvl w:val="0"/>
          <w:numId w:val="2"/>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RPO (Recovery Point Objective): ≤ 1 minute</w:t>
        <w:br w:type="textWrapping"/>
      </w:r>
    </w:p>
    <w:p w:rsidR="00000000" w:rsidDel="00000000" w:rsidP="00000000" w:rsidRDefault="00000000" w:rsidRPr="00000000" w14:paraId="0000012A">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Availability: 24/7/365</w:t>
        <w:br w:type="textWrapping"/>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rPr>
      </w:pPr>
      <w:bookmarkStart w:colFirst="0" w:colLast="0" w:name="_yjl5iahdvlv1" w:id="44"/>
      <w:bookmarkEnd w:id="44"/>
      <w:r w:rsidDel="00000000" w:rsidR="00000000" w:rsidRPr="00000000">
        <w:rPr>
          <w:b w:val="1"/>
          <w:color w:val="000000"/>
          <w:rtl w:val="0"/>
        </w:rPr>
        <w:t xml:space="preserve">6.2 Recommended Architecture</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A hybrid multi-cloud model—</w:t>
      </w:r>
      <w:r w:rsidDel="00000000" w:rsidR="00000000" w:rsidRPr="00000000">
        <w:rPr>
          <w:b w:val="1"/>
          <w:sz w:val="24"/>
          <w:szCs w:val="24"/>
          <w:rtl w:val="0"/>
        </w:rPr>
        <w:t xml:space="preserve">AWS (primary)</w:t>
      </w:r>
      <w:r w:rsidDel="00000000" w:rsidR="00000000" w:rsidRPr="00000000">
        <w:rPr>
          <w:sz w:val="24"/>
          <w:szCs w:val="24"/>
          <w:rtl w:val="0"/>
        </w:rPr>
        <w:t xml:space="preserve"> and </w:t>
      </w:r>
      <w:r w:rsidDel="00000000" w:rsidR="00000000" w:rsidRPr="00000000">
        <w:rPr>
          <w:b w:val="1"/>
          <w:sz w:val="24"/>
          <w:szCs w:val="24"/>
          <w:rtl w:val="0"/>
        </w:rPr>
        <w:t xml:space="preserve">Azure (secondary)</w:t>
      </w:r>
      <w:r w:rsidDel="00000000" w:rsidR="00000000" w:rsidRPr="00000000">
        <w:rPr>
          <w:sz w:val="24"/>
          <w:szCs w:val="24"/>
          <w:rtl w:val="0"/>
        </w:rPr>
        <w:t xml:space="preserve">—balances resilience and compliance. Implementation will follow a three-phase roadmap:</w:t>
      </w:r>
    </w:p>
    <w:p w:rsidR="00000000" w:rsidDel="00000000" w:rsidP="00000000" w:rsidRDefault="00000000" w:rsidRPr="00000000" w14:paraId="0000012E">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Assessment and Replication Setup:</w:t>
      </w:r>
      <w:r w:rsidDel="00000000" w:rsidR="00000000" w:rsidRPr="00000000">
        <w:rPr>
          <w:sz w:val="24"/>
          <w:szCs w:val="24"/>
          <w:rtl w:val="0"/>
        </w:rPr>
        <w:t xml:space="preserve"> Baseline infrastructure audits, bandwidth testing, and initial replication policies using AWS Elastic Disaster Recovery and Azure Site Recovery.</w:t>
        <w:br w:type="textWrapping"/>
      </w:r>
    </w:p>
    <w:p w:rsidR="00000000" w:rsidDel="00000000" w:rsidP="00000000" w:rsidRDefault="00000000" w:rsidRPr="00000000" w14:paraId="0000012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Automation and Failover Testing:</w:t>
      </w:r>
      <w:r w:rsidDel="00000000" w:rsidR="00000000" w:rsidRPr="00000000">
        <w:rPr>
          <w:sz w:val="24"/>
          <w:szCs w:val="24"/>
          <w:rtl w:val="0"/>
        </w:rPr>
        <w:t xml:space="preserve"> Deployment of infrastructure-as-code (Terraform) scripts to automate environment creation and simulate failover to secondary cloud within 45 seconds.</w:t>
        <w:br w:type="textWrapping"/>
      </w:r>
    </w:p>
    <w:p w:rsidR="00000000" w:rsidDel="00000000" w:rsidP="00000000" w:rsidRDefault="00000000" w:rsidRPr="00000000" w14:paraId="00000130">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Optimisation and Monitoring:</w:t>
      </w:r>
      <w:r w:rsidDel="00000000" w:rsidR="00000000" w:rsidRPr="00000000">
        <w:rPr>
          <w:sz w:val="24"/>
          <w:szCs w:val="24"/>
          <w:rtl w:val="0"/>
        </w:rPr>
        <w:t xml:space="preserve"> Integration with Prometheus and Grafana for real-time latency tracking and alerting.</w:t>
        <w:br w:type="textWrapping"/>
      </w:r>
    </w:p>
    <w:p w:rsidR="00000000" w:rsidDel="00000000" w:rsidP="00000000" w:rsidRDefault="00000000" w:rsidRPr="00000000" w14:paraId="0000013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architecture uses multi-AZ clusters for data synchronisation and employs event-driven lambda functions to trigger DR activation. Global CDNs enhance latency performance, while immutable backups ensure ransomware resilience. Continuous replication achieves RPO ≤ 60 seconds, surpassing industry benchmarks (Andrade et al., 2017).</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Effective BC/DR implementation also requires </w:t>
      </w:r>
      <w:r w:rsidDel="00000000" w:rsidR="00000000" w:rsidRPr="00000000">
        <w:rPr>
          <w:b w:val="1"/>
          <w:sz w:val="24"/>
          <w:szCs w:val="24"/>
          <w:rtl w:val="0"/>
        </w:rPr>
        <w:t xml:space="preserve">strong governance and continual improvement</w:t>
      </w:r>
      <w:r w:rsidDel="00000000" w:rsidR="00000000" w:rsidRPr="00000000">
        <w:rPr>
          <w:sz w:val="24"/>
          <w:szCs w:val="24"/>
          <w:rtl w:val="0"/>
        </w:rPr>
        <w:t xml:space="preserve">. Pampered Pets should institute a </w:t>
      </w:r>
      <w:r w:rsidDel="00000000" w:rsidR="00000000" w:rsidRPr="00000000">
        <w:rPr>
          <w:b w:val="1"/>
          <w:sz w:val="24"/>
          <w:szCs w:val="24"/>
          <w:rtl w:val="0"/>
        </w:rPr>
        <w:t xml:space="preserve">Business Continuity Steering Committee</w:t>
      </w:r>
      <w:r w:rsidDel="00000000" w:rsidR="00000000" w:rsidRPr="00000000">
        <w:rPr>
          <w:sz w:val="24"/>
          <w:szCs w:val="24"/>
          <w:rtl w:val="0"/>
        </w:rPr>
        <w:t xml:space="preserve"> comprising IT, operations, and compliance leaders to monitor DR readiness. The committee would oversee quarterly simulated failovers, annual ISO 22301 audits, and post-incident reviews. A maturity model aligned with </w:t>
      </w:r>
      <w:r w:rsidDel="00000000" w:rsidR="00000000" w:rsidRPr="00000000">
        <w:rPr>
          <w:b w:val="1"/>
          <w:sz w:val="24"/>
          <w:szCs w:val="24"/>
          <w:rtl w:val="0"/>
        </w:rPr>
        <w:t xml:space="preserve">NIST SP 800-34</w:t>
      </w:r>
      <w:r w:rsidDel="00000000" w:rsidR="00000000" w:rsidRPr="00000000">
        <w:rPr>
          <w:sz w:val="24"/>
          <w:szCs w:val="24"/>
          <w:rtl w:val="0"/>
        </w:rPr>
        <w:t xml:space="preserve"> can track progress across metrics such as recovery time accuracy, data-restoration fidelity, and communication efficiency. Integrating BC/DR key performance indicators into executive dashboards ensures accountability at leadership level. Over time, this cyclical testing regime embeds resilience as an organisational capability rather than a one-off technical deployment.</w:t>
      </w: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rPr>
      </w:pPr>
      <w:bookmarkStart w:colFirst="0" w:colLast="0" w:name="_61c3glgecoi2" w:id="45"/>
      <w:bookmarkEnd w:id="45"/>
      <w:r w:rsidDel="00000000" w:rsidR="00000000" w:rsidRPr="00000000">
        <w:rPr>
          <w:b w:val="1"/>
          <w:color w:val="000000"/>
          <w:rtl w:val="0"/>
        </w:rPr>
        <w:t xml:space="preserve">6.3 Platform Recommendation and Vendor Lock-In</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AWS provides superior automation for DR failover; however, Azure ensures EU data residency for GDPR compliance. To mitigate vendor lock-in, a </w:t>
      </w:r>
      <w:r w:rsidDel="00000000" w:rsidR="00000000" w:rsidRPr="00000000">
        <w:rPr>
          <w:b w:val="1"/>
          <w:sz w:val="24"/>
          <w:szCs w:val="24"/>
          <w:rtl w:val="0"/>
        </w:rPr>
        <w:t xml:space="preserve">Kubernetes container orchestration</w:t>
      </w:r>
      <w:r w:rsidDel="00000000" w:rsidR="00000000" w:rsidRPr="00000000">
        <w:rPr>
          <w:sz w:val="24"/>
          <w:szCs w:val="24"/>
          <w:rtl w:val="0"/>
        </w:rPr>
        <w:t xml:space="preserve"> layer is suggested, ensuring portability across providers (Andrade et al., 2017; Alhazmi and Malaiya, 2013).</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rPr>
      </w:pPr>
      <w:bookmarkStart w:colFirst="0" w:colLast="0" w:name="_8xut886lhy1e" w:id="46"/>
      <w:bookmarkEnd w:id="46"/>
      <w:r w:rsidDel="00000000" w:rsidR="00000000" w:rsidRPr="00000000">
        <w:rPr>
          <w:b w:val="1"/>
          <w:color w:val="000000"/>
          <w:rtl w:val="0"/>
        </w:rPr>
        <w:t xml:space="preserve">6.4 Compliance Alignment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480"/>
        <w:gridCol w:w="3690"/>
        <w:tblGridChange w:id="0">
          <w:tblGrid>
            <w:gridCol w:w="1830"/>
            <w:gridCol w:w="348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BC/DR Alignment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ISO 22301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Continuity planning, RTO/RPO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Achieved with 60-second thresholds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ISO 27001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Secure data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Encryption (AES-256), IAM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NIST SP 800-34</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Contingency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Automated failover and test simulations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GDPR Art. 32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Integrity, availability of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Cross-region backups and encryption</w:t>
            </w:r>
          </w:p>
        </w:tc>
      </w:tr>
    </w:tbl>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b w:val="1"/>
          <w:sz w:val="36"/>
          <w:szCs w:val="36"/>
        </w:rPr>
      </w:pPr>
      <w:bookmarkStart w:colFirst="0" w:colLast="0" w:name="_cqytu9wav7c4" w:id="47"/>
      <w:bookmarkEnd w:id="47"/>
      <w:r w:rsidDel="00000000" w:rsidR="00000000" w:rsidRPr="00000000">
        <w:rPr>
          <w:rtl w:val="0"/>
        </w:rPr>
      </w:r>
    </w:p>
    <w:p w:rsidR="00000000" w:rsidDel="00000000" w:rsidP="00000000" w:rsidRDefault="00000000" w:rsidRPr="00000000" w14:paraId="00000150">
      <w:pPr>
        <w:pStyle w:val="Heading2"/>
        <w:keepNext w:val="0"/>
        <w:keepLines w:val="0"/>
        <w:spacing w:after="80" w:lineRule="auto"/>
        <w:rPr>
          <w:b w:val="1"/>
          <w:sz w:val="36"/>
          <w:szCs w:val="36"/>
        </w:rPr>
      </w:pPr>
      <w:bookmarkStart w:colFirst="0" w:colLast="0" w:name="_vdzx2sewglot" w:id="48"/>
      <w:bookmarkEnd w:id="48"/>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b w:val="1"/>
          <w:sz w:val="36"/>
          <w:szCs w:val="36"/>
        </w:rPr>
      </w:pPr>
      <w:bookmarkStart w:colFirst="0" w:colLast="0" w:name="_ytodg7k4p13i" w:id="49"/>
      <w:bookmarkEnd w:id="49"/>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sz w:val="36"/>
          <w:szCs w:val="36"/>
        </w:rPr>
      </w:pPr>
      <w:bookmarkStart w:colFirst="0" w:colLast="0" w:name="_j619psvnacix" w:id="50"/>
      <w:bookmarkEnd w:id="50"/>
      <w:r w:rsidDel="00000000" w:rsidR="00000000" w:rsidRPr="00000000">
        <w:rPr>
          <w:rtl w:val="0"/>
        </w:rPr>
      </w:r>
    </w:p>
    <w:p w:rsidR="00000000" w:rsidDel="00000000" w:rsidP="00000000" w:rsidRDefault="00000000" w:rsidRPr="00000000" w14:paraId="00000153">
      <w:pPr>
        <w:pStyle w:val="Heading2"/>
        <w:keepNext w:val="0"/>
        <w:keepLines w:val="0"/>
        <w:spacing w:after="80" w:lineRule="auto"/>
        <w:rPr>
          <w:b w:val="1"/>
          <w:sz w:val="36"/>
          <w:szCs w:val="36"/>
        </w:rPr>
      </w:pPr>
      <w:bookmarkStart w:colFirst="0" w:colLast="0" w:name="_6w0awrqonpek" w:id="51"/>
      <w:bookmarkEnd w:id="51"/>
      <w:r w:rsidDel="00000000" w:rsidR="00000000" w:rsidRPr="00000000">
        <w:rPr>
          <w:b w:val="1"/>
          <w:sz w:val="36"/>
          <w:szCs w:val="36"/>
          <w:rtl w:val="0"/>
        </w:rPr>
        <w:t xml:space="preserve">7. Discussion: Mitigation Effectiveness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Residual risk analysis demonstrates that investing 5–8 per cent of annual IT budget in cybersecurity reduces expected loss value by over 50 per cent. Applying Bayesian updating (Wang et al., 2020) shows posterior probability of catastrophic failure falls to below 5 per cent after three years of consistent control audits. This emphasises the strategic ROI of security investment. Further, embedding ISO 22301 KPIs into executive dashboards fosters accountability and promotes risk-aware culture.</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Ethically, digital transformation demands balancing automation efficiency with human oversight. Pampered Pets must ensure transparent data handling and staff reskilling to avoid technological displacement, aligning with responsible innovation principles (Renn et al., 2021). Integrating human-in-the-loop decision-support within automated workflows preserves quality judgement while maintaining efficiency.</w:t>
      </w:r>
    </w:p>
    <w:p w:rsidR="00000000" w:rsidDel="00000000" w:rsidP="00000000" w:rsidRDefault="00000000" w:rsidRPr="00000000" w14:paraId="00000157">
      <w:pPr>
        <w:spacing w:after="240" w:before="240" w:lineRule="auto"/>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pStyle w:val="Heading2"/>
        <w:keepNext w:val="0"/>
        <w:keepLines w:val="0"/>
        <w:spacing w:after="80" w:lineRule="auto"/>
        <w:rPr>
          <w:b w:val="1"/>
          <w:sz w:val="36"/>
          <w:szCs w:val="36"/>
        </w:rPr>
      </w:pPr>
      <w:bookmarkStart w:colFirst="0" w:colLast="0" w:name="_i9uycm531syn" w:id="52"/>
      <w:bookmarkEnd w:id="52"/>
      <w:r w:rsidDel="00000000" w:rsidR="00000000" w:rsidRPr="00000000">
        <w:rPr>
          <w:rtl w:val="0"/>
        </w:rPr>
      </w:r>
    </w:p>
    <w:p w:rsidR="00000000" w:rsidDel="00000000" w:rsidP="00000000" w:rsidRDefault="00000000" w:rsidRPr="00000000" w14:paraId="0000015A">
      <w:pPr>
        <w:pStyle w:val="Heading2"/>
        <w:keepNext w:val="0"/>
        <w:keepLines w:val="0"/>
        <w:spacing w:after="80" w:lineRule="auto"/>
        <w:rPr>
          <w:b w:val="1"/>
          <w:sz w:val="36"/>
          <w:szCs w:val="36"/>
        </w:rPr>
      </w:pPr>
      <w:bookmarkStart w:colFirst="0" w:colLast="0" w:name="_232cp9nza5yo" w:id="53"/>
      <w:bookmarkEnd w:id="53"/>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sz w:val="36"/>
          <w:szCs w:val="36"/>
        </w:rPr>
      </w:pPr>
      <w:bookmarkStart w:colFirst="0" w:colLast="0" w:name="_whxdt8jr2ysq" w:id="54"/>
      <w:bookmarkEnd w:id="54"/>
      <w:r w:rsidDel="00000000" w:rsidR="00000000" w:rsidRPr="00000000">
        <w:rPr>
          <w:rtl w:val="0"/>
        </w:rPr>
      </w:r>
    </w:p>
    <w:p w:rsidR="00000000" w:rsidDel="00000000" w:rsidP="00000000" w:rsidRDefault="00000000" w:rsidRPr="00000000" w14:paraId="0000015C">
      <w:pPr>
        <w:pStyle w:val="Heading2"/>
        <w:keepNext w:val="0"/>
        <w:keepLines w:val="0"/>
        <w:spacing w:after="80" w:lineRule="auto"/>
        <w:rPr>
          <w:b w:val="1"/>
          <w:sz w:val="36"/>
          <w:szCs w:val="36"/>
        </w:rPr>
      </w:pPr>
      <w:bookmarkStart w:colFirst="0" w:colLast="0" w:name="_9ymwjq73fxvf" w:id="55"/>
      <w:bookmarkEnd w:id="55"/>
      <w:r w:rsidDel="00000000" w:rsidR="00000000" w:rsidRPr="00000000">
        <w:rPr>
          <w:rtl w:val="0"/>
        </w:rPr>
      </w:r>
    </w:p>
    <w:p w:rsidR="00000000" w:rsidDel="00000000" w:rsidP="00000000" w:rsidRDefault="00000000" w:rsidRPr="00000000" w14:paraId="0000015D">
      <w:pPr>
        <w:pStyle w:val="Heading2"/>
        <w:keepNext w:val="0"/>
        <w:keepLines w:val="0"/>
        <w:spacing w:after="80" w:lineRule="auto"/>
        <w:rPr>
          <w:b w:val="1"/>
          <w:sz w:val="36"/>
          <w:szCs w:val="36"/>
        </w:rPr>
      </w:pPr>
      <w:bookmarkStart w:colFirst="0" w:colLast="0" w:name="_yoc5ighf0c53" w:id="56"/>
      <w:bookmarkEnd w:id="56"/>
      <w:r w:rsidDel="00000000" w:rsidR="00000000" w:rsidRPr="00000000">
        <w:rPr>
          <w:rtl w:val="0"/>
        </w:rPr>
      </w:r>
    </w:p>
    <w:p w:rsidR="00000000" w:rsidDel="00000000" w:rsidP="00000000" w:rsidRDefault="00000000" w:rsidRPr="00000000" w14:paraId="0000015E">
      <w:pPr>
        <w:pStyle w:val="Heading2"/>
        <w:keepNext w:val="0"/>
        <w:keepLines w:val="0"/>
        <w:spacing w:after="80" w:lineRule="auto"/>
        <w:rPr>
          <w:b w:val="1"/>
          <w:sz w:val="36"/>
          <w:szCs w:val="36"/>
        </w:rPr>
      </w:pPr>
      <w:bookmarkStart w:colFirst="0" w:colLast="0" w:name="_mrbt519kiqpp" w:id="57"/>
      <w:bookmarkEnd w:id="57"/>
      <w:r w:rsidDel="00000000" w:rsidR="00000000" w:rsidRPr="00000000">
        <w:rPr>
          <w:rtl w:val="0"/>
        </w:rPr>
      </w:r>
    </w:p>
    <w:p w:rsidR="00000000" w:rsidDel="00000000" w:rsidP="00000000" w:rsidRDefault="00000000" w:rsidRPr="00000000" w14:paraId="0000015F">
      <w:pPr>
        <w:pStyle w:val="Heading2"/>
        <w:keepNext w:val="0"/>
        <w:keepLines w:val="0"/>
        <w:spacing w:after="80" w:lineRule="auto"/>
        <w:rPr>
          <w:b w:val="1"/>
          <w:sz w:val="36"/>
          <w:szCs w:val="36"/>
        </w:rPr>
      </w:pPr>
      <w:bookmarkStart w:colFirst="0" w:colLast="0" w:name="_bmuoraetnbtc" w:id="58"/>
      <w:bookmarkEnd w:id="58"/>
      <w:r w:rsidDel="00000000" w:rsidR="00000000" w:rsidRPr="00000000">
        <w:rPr>
          <w:rtl w:val="0"/>
        </w:rPr>
      </w:r>
    </w:p>
    <w:p w:rsidR="00000000" w:rsidDel="00000000" w:rsidP="00000000" w:rsidRDefault="00000000" w:rsidRPr="00000000" w14:paraId="00000160">
      <w:pPr>
        <w:pStyle w:val="Heading2"/>
        <w:keepNext w:val="0"/>
        <w:keepLines w:val="0"/>
        <w:spacing w:after="80" w:lineRule="auto"/>
        <w:rPr>
          <w:b w:val="1"/>
          <w:sz w:val="36"/>
          <w:szCs w:val="36"/>
        </w:rPr>
      </w:pPr>
      <w:bookmarkStart w:colFirst="0" w:colLast="0" w:name="_uhyhzbljzpb9" w:id="59"/>
      <w:bookmarkEnd w:id="59"/>
      <w:r w:rsidDel="00000000" w:rsidR="00000000" w:rsidRPr="00000000">
        <w:rPr>
          <w:rtl w:val="0"/>
        </w:rPr>
      </w:r>
    </w:p>
    <w:p w:rsidR="00000000" w:rsidDel="00000000" w:rsidP="00000000" w:rsidRDefault="00000000" w:rsidRPr="00000000" w14:paraId="00000161">
      <w:pPr>
        <w:pStyle w:val="Heading2"/>
        <w:keepNext w:val="0"/>
        <w:keepLines w:val="0"/>
        <w:spacing w:after="80" w:lineRule="auto"/>
        <w:rPr>
          <w:b w:val="1"/>
          <w:sz w:val="36"/>
          <w:szCs w:val="36"/>
        </w:rPr>
      </w:pPr>
      <w:bookmarkStart w:colFirst="0" w:colLast="0" w:name="_w8jdym78bsqs" w:id="60"/>
      <w:bookmarkEnd w:id="60"/>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b w:val="1"/>
          <w:sz w:val="36"/>
          <w:szCs w:val="36"/>
        </w:rPr>
      </w:pPr>
      <w:bookmarkStart w:colFirst="0" w:colLast="0" w:name="_aayc7y16vwp7" w:id="61"/>
      <w:bookmarkEnd w:id="61"/>
      <w:r w:rsidDel="00000000" w:rsidR="00000000" w:rsidRPr="00000000">
        <w:rPr>
          <w:b w:val="1"/>
          <w:sz w:val="36"/>
          <w:szCs w:val="36"/>
          <w:rtl w:val="0"/>
        </w:rPr>
        <w:t xml:space="preserve">8. Prioritised Recommendations</w:t>
      </w:r>
    </w:p>
    <w:p w:rsidR="00000000" w:rsidDel="00000000" w:rsidP="00000000" w:rsidRDefault="00000000" w:rsidRPr="00000000" w14:paraId="00000163">
      <w:pPr>
        <w:spacing w:after="240" w:before="240" w:lineRule="auto"/>
        <w:rPr>
          <w:sz w:val="24"/>
          <w:szCs w:val="24"/>
        </w:rPr>
      </w:pPr>
      <w:r w:rsidDel="00000000" w:rsidR="00000000" w:rsidRPr="00000000">
        <w:rPr>
          <w:b w:val="1"/>
          <w:sz w:val="24"/>
          <w:szCs w:val="24"/>
          <w:rtl w:val="0"/>
        </w:rPr>
        <w:t xml:space="preserve">Cybersecurity Reinforcement (Highest Priority)</w:t>
        <w:br w:type="textWrapping"/>
      </w:r>
      <w:r w:rsidDel="00000000" w:rsidR="00000000" w:rsidRPr="00000000">
        <w:rPr>
          <w:sz w:val="24"/>
          <w:szCs w:val="24"/>
          <w:rtl w:val="0"/>
        </w:rPr>
        <w:t xml:space="preserve"> Implement multi-factor authentication, continuous vulnerability scanning, and Zero Trust architecture (Zografopoulos et al., 2021).</w:t>
      </w:r>
    </w:p>
    <w:p w:rsidR="00000000" w:rsidDel="00000000" w:rsidP="00000000" w:rsidRDefault="00000000" w:rsidRPr="00000000" w14:paraId="00000164">
      <w:pPr>
        <w:spacing w:after="240" w:before="240" w:lineRule="auto"/>
        <w:rPr>
          <w:sz w:val="24"/>
          <w:szCs w:val="24"/>
        </w:rPr>
      </w:pPr>
      <w:r w:rsidDel="00000000" w:rsidR="00000000" w:rsidRPr="00000000">
        <w:rPr>
          <w:b w:val="1"/>
          <w:sz w:val="24"/>
          <w:szCs w:val="24"/>
          <w:rtl w:val="0"/>
        </w:rPr>
        <w:t xml:space="preserve">Predictive Maintenance for Automation Equipment</w:t>
        <w:br w:type="textWrapping"/>
      </w:r>
      <w:r w:rsidDel="00000000" w:rsidR="00000000" w:rsidRPr="00000000">
        <w:rPr>
          <w:sz w:val="24"/>
          <w:szCs w:val="24"/>
          <w:rtl w:val="0"/>
        </w:rPr>
        <w:t xml:space="preserve"> Utilise AI-driven anomaly detection to anticipate equipment degradation before it affects production (Hancock et al., 2024).</w:t>
      </w:r>
    </w:p>
    <w:p w:rsidR="00000000" w:rsidDel="00000000" w:rsidP="00000000" w:rsidRDefault="00000000" w:rsidRPr="00000000" w14:paraId="00000165">
      <w:pPr>
        <w:spacing w:after="240" w:before="240" w:lineRule="auto"/>
        <w:rPr>
          <w:sz w:val="24"/>
          <w:szCs w:val="24"/>
        </w:rPr>
      </w:pPr>
      <w:r w:rsidDel="00000000" w:rsidR="00000000" w:rsidRPr="00000000">
        <w:rPr>
          <w:b w:val="1"/>
          <w:sz w:val="24"/>
          <w:szCs w:val="24"/>
          <w:rtl w:val="0"/>
        </w:rPr>
        <w:t xml:space="preserve">Blockchain Traceability for Supply Chain Transparency</w:t>
        <w:br w:type="textWrapping"/>
      </w:r>
      <w:r w:rsidDel="00000000" w:rsidR="00000000" w:rsidRPr="00000000">
        <w:rPr>
          <w:sz w:val="24"/>
          <w:szCs w:val="24"/>
          <w:rtl w:val="0"/>
        </w:rPr>
        <w:t xml:space="preserve"> Enables real-time verification of supplier authenticity, ensuring consistency in product quality.</w:t>
      </w:r>
    </w:p>
    <w:p w:rsidR="00000000" w:rsidDel="00000000" w:rsidP="00000000" w:rsidRDefault="00000000" w:rsidRPr="00000000" w14:paraId="00000166">
      <w:pPr>
        <w:spacing w:after="240" w:before="240" w:lineRule="auto"/>
        <w:rPr>
          <w:sz w:val="24"/>
          <w:szCs w:val="24"/>
        </w:rPr>
      </w:pPr>
      <w:r w:rsidDel="00000000" w:rsidR="00000000" w:rsidRPr="00000000">
        <w:rPr>
          <w:b w:val="1"/>
          <w:sz w:val="24"/>
          <w:szCs w:val="24"/>
          <w:rtl w:val="0"/>
        </w:rPr>
        <w:t xml:space="preserve">Hybrid Multi-Cloud BC/DR Deployment</w:t>
        <w:br w:type="textWrapping"/>
      </w:r>
      <w:r w:rsidDel="00000000" w:rsidR="00000000" w:rsidRPr="00000000">
        <w:rPr>
          <w:sz w:val="24"/>
          <w:szCs w:val="24"/>
          <w:rtl w:val="0"/>
        </w:rPr>
        <w:t xml:space="preserve"> Execute dual-provider deployment to prevent vendor lock-in and enhance regulatory compliance (Andrade et al., 2017).</w:t>
      </w:r>
    </w:p>
    <w:p w:rsidR="00000000" w:rsidDel="00000000" w:rsidP="00000000" w:rsidRDefault="00000000" w:rsidRPr="00000000" w14:paraId="00000167">
      <w:pPr>
        <w:spacing w:after="240" w:before="240" w:lineRule="auto"/>
        <w:rPr>
          <w:sz w:val="24"/>
          <w:szCs w:val="24"/>
        </w:rPr>
      </w:pPr>
      <w:r w:rsidDel="00000000" w:rsidR="00000000" w:rsidRPr="00000000">
        <w:rPr>
          <w:b w:val="1"/>
          <w:sz w:val="24"/>
          <w:szCs w:val="24"/>
          <w:rtl w:val="0"/>
        </w:rPr>
        <w:t xml:space="preserve">Regular DR Testing and Training</w:t>
        <w:br w:type="textWrapping"/>
      </w:r>
      <w:r w:rsidDel="00000000" w:rsidR="00000000" w:rsidRPr="00000000">
        <w:rPr>
          <w:sz w:val="24"/>
          <w:szCs w:val="24"/>
          <w:rtl w:val="0"/>
        </w:rPr>
        <w:t xml:space="preserve"> Conduct quarterly simulations to validate RTO/RPO compliance and employee readiness.</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pStyle w:val="Heading2"/>
        <w:keepNext w:val="0"/>
        <w:keepLines w:val="0"/>
        <w:spacing w:after="80" w:lineRule="auto"/>
        <w:rPr>
          <w:b w:val="1"/>
          <w:sz w:val="36"/>
          <w:szCs w:val="36"/>
        </w:rPr>
      </w:pPr>
      <w:bookmarkStart w:colFirst="0" w:colLast="0" w:name="_pj6teo6jy70n" w:id="62"/>
      <w:bookmarkEnd w:id="62"/>
      <w:r w:rsidDel="00000000" w:rsidR="00000000" w:rsidRPr="00000000">
        <w:rPr>
          <w:rtl w:val="0"/>
        </w:rPr>
      </w:r>
    </w:p>
    <w:p w:rsidR="00000000" w:rsidDel="00000000" w:rsidP="00000000" w:rsidRDefault="00000000" w:rsidRPr="00000000" w14:paraId="0000016A">
      <w:pPr>
        <w:pStyle w:val="Heading2"/>
        <w:keepNext w:val="0"/>
        <w:keepLines w:val="0"/>
        <w:spacing w:after="80" w:lineRule="auto"/>
        <w:rPr>
          <w:b w:val="1"/>
          <w:sz w:val="36"/>
          <w:szCs w:val="36"/>
        </w:rPr>
      </w:pPr>
      <w:bookmarkStart w:colFirst="0" w:colLast="0" w:name="_bg3ue8qjoa0s" w:id="63"/>
      <w:bookmarkEnd w:id="63"/>
      <w:r w:rsidDel="00000000" w:rsidR="00000000" w:rsidRPr="00000000">
        <w:rPr>
          <w:rtl w:val="0"/>
        </w:rPr>
      </w:r>
    </w:p>
    <w:p w:rsidR="00000000" w:rsidDel="00000000" w:rsidP="00000000" w:rsidRDefault="00000000" w:rsidRPr="00000000" w14:paraId="0000016B">
      <w:pPr>
        <w:pStyle w:val="Heading2"/>
        <w:keepNext w:val="0"/>
        <w:keepLines w:val="0"/>
        <w:spacing w:after="80" w:lineRule="auto"/>
        <w:rPr>
          <w:b w:val="1"/>
          <w:sz w:val="36"/>
          <w:szCs w:val="36"/>
        </w:rPr>
      </w:pPr>
      <w:bookmarkStart w:colFirst="0" w:colLast="0" w:name="_w97ffznkaa7q" w:id="64"/>
      <w:bookmarkEnd w:id="64"/>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b w:val="1"/>
          <w:sz w:val="36"/>
          <w:szCs w:val="36"/>
        </w:rPr>
      </w:pPr>
      <w:bookmarkStart w:colFirst="0" w:colLast="0" w:name="_2cftisifzhng" w:id="65"/>
      <w:bookmarkEnd w:id="65"/>
      <w:r w:rsidDel="00000000" w:rsidR="00000000" w:rsidRPr="00000000">
        <w:rPr>
          <w:rtl w:val="0"/>
        </w:rPr>
      </w:r>
    </w:p>
    <w:p w:rsidR="00000000" w:rsidDel="00000000" w:rsidP="00000000" w:rsidRDefault="00000000" w:rsidRPr="00000000" w14:paraId="0000016D">
      <w:pPr>
        <w:pStyle w:val="Heading2"/>
        <w:keepNext w:val="0"/>
        <w:keepLines w:val="0"/>
        <w:spacing w:after="80" w:lineRule="auto"/>
        <w:rPr>
          <w:b w:val="1"/>
          <w:sz w:val="36"/>
          <w:szCs w:val="36"/>
        </w:rPr>
      </w:pPr>
      <w:bookmarkStart w:colFirst="0" w:colLast="0" w:name="_9evmpeq0n1fx" w:id="66"/>
      <w:bookmarkEnd w:id="66"/>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b w:val="1"/>
          <w:sz w:val="36"/>
          <w:szCs w:val="36"/>
        </w:rPr>
      </w:pPr>
      <w:bookmarkStart w:colFirst="0" w:colLast="0" w:name="_wtfka9smo0t5" w:id="67"/>
      <w:bookmarkEnd w:id="67"/>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b w:val="1"/>
          <w:sz w:val="36"/>
          <w:szCs w:val="36"/>
        </w:rPr>
      </w:pPr>
      <w:bookmarkStart w:colFirst="0" w:colLast="0" w:name="_focft1z2e0f5" w:id="68"/>
      <w:bookmarkEnd w:id="68"/>
      <w:r w:rsidDel="00000000" w:rsidR="00000000" w:rsidRPr="00000000">
        <w:rPr>
          <w:rtl w:val="0"/>
        </w:rPr>
      </w:r>
    </w:p>
    <w:p w:rsidR="00000000" w:rsidDel="00000000" w:rsidP="00000000" w:rsidRDefault="00000000" w:rsidRPr="00000000" w14:paraId="00000170">
      <w:pPr>
        <w:pStyle w:val="Heading2"/>
        <w:keepNext w:val="0"/>
        <w:keepLines w:val="0"/>
        <w:spacing w:after="80" w:lineRule="auto"/>
        <w:rPr>
          <w:b w:val="1"/>
          <w:sz w:val="36"/>
          <w:szCs w:val="36"/>
        </w:rPr>
      </w:pPr>
      <w:bookmarkStart w:colFirst="0" w:colLast="0" w:name="_r7oyyn93fckd" w:id="69"/>
      <w:bookmarkEnd w:id="69"/>
      <w:r w:rsidDel="00000000" w:rsidR="00000000" w:rsidRPr="00000000">
        <w:rPr>
          <w:rtl w:val="0"/>
        </w:rPr>
      </w:r>
    </w:p>
    <w:p w:rsidR="00000000" w:rsidDel="00000000" w:rsidP="00000000" w:rsidRDefault="00000000" w:rsidRPr="00000000" w14:paraId="00000171">
      <w:pPr>
        <w:pStyle w:val="Heading2"/>
        <w:keepNext w:val="0"/>
        <w:keepLines w:val="0"/>
        <w:spacing w:after="80" w:lineRule="auto"/>
        <w:rPr>
          <w:b w:val="1"/>
          <w:sz w:val="36"/>
          <w:szCs w:val="36"/>
        </w:rPr>
      </w:pPr>
      <w:bookmarkStart w:colFirst="0" w:colLast="0" w:name="_usqvguyxsv57" w:id="70"/>
      <w:bookmarkEnd w:id="70"/>
      <w:r w:rsidDel="00000000" w:rsidR="00000000" w:rsidRPr="00000000">
        <w:rPr>
          <w:b w:val="1"/>
          <w:sz w:val="36"/>
          <w:szCs w:val="36"/>
          <w:rtl w:val="0"/>
        </w:rPr>
        <w:t xml:space="preserve">9. Conclusion</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This analysis confirms that Pampered Pets Ltd.’s digitalisation initiative presents both transformative opportunities and inherent risks. Quantitative modelling demonstrates a baseline probability of 21 per cent for disruption, which reduces below 10 per cent through recommended controls. Such precision-driven insight enables the organisation to shift from reactive risk management to predictive resilience.</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Strategically, the BC/DR architecture ensures sub-minute recovery objectives, a critical capability for high-net-worth clients who expect uninterrupted service quality. The approach also aligns with the European Commission’s Cyber Resilience Act (2022), demonstrating compliance with evolving digital governance standards. From a sustainability standpoint, the integration of AI-enabled risk forecasting reduces resource waste and enhances supply chain accountability.</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In sum, by combining Monte Carlo analytics, FMEA granularity, and a robust multi-cloud continuity framework, Pampered Pets Ltd. establishes a repeatable model for secure digital growth. This positions the company not only to protect its prestige but to set a benchmark for ethical, data-driven resilience within the luxury pet-care industry.</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Beyond technological preparedness, Pampered Pets must uphold its ethical and environmental commitments throughout digital expansion. Embedding sustainability principles within risk management—such as reducing logistics emissions, ensuring animal-safe supply chains, and maintaining GDPR-aligned data transparency—demonstrates social responsibility. Aligning continuity planning with </w:t>
      </w:r>
      <w:r w:rsidDel="00000000" w:rsidR="00000000" w:rsidRPr="00000000">
        <w:rPr>
          <w:b w:val="1"/>
          <w:sz w:val="24"/>
          <w:szCs w:val="24"/>
          <w:rtl w:val="0"/>
        </w:rPr>
        <w:t xml:space="preserve">UN Sustainable Development Goals 9 (Industry, Innovation and Infrastructure)</w:t>
      </w:r>
      <w:r w:rsidDel="00000000" w:rsidR="00000000" w:rsidRPr="00000000">
        <w:rPr>
          <w:sz w:val="24"/>
          <w:szCs w:val="24"/>
          <w:rtl w:val="0"/>
        </w:rPr>
        <w:t xml:space="preserve"> and </w:t>
      </w:r>
      <w:r w:rsidDel="00000000" w:rsidR="00000000" w:rsidRPr="00000000">
        <w:rPr>
          <w:b w:val="1"/>
          <w:sz w:val="24"/>
          <w:szCs w:val="24"/>
          <w:rtl w:val="0"/>
        </w:rPr>
        <w:t xml:space="preserve">12 (Responsible Consumption and Production)</w:t>
      </w:r>
      <w:r w:rsidDel="00000000" w:rsidR="00000000" w:rsidRPr="00000000">
        <w:rPr>
          <w:sz w:val="24"/>
          <w:szCs w:val="24"/>
          <w:rtl w:val="0"/>
        </w:rPr>
        <w:t xml:space="preserve"> strengthens corporate credibility while attracting eco-conscious consumers. In doing so, resilience becomes not only a technical safeguard but a long-term differentiator enhancing both reputation and stakeholder trust.</w:t>
      </w: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pStyle w:val="Heading2"/>
        <w:keepNext w:val="0"/>
        <w:keepLines w:val="0"/>
        <w:spacing w:after="80" w:lineRule="auto"/>
        <w:rPr>
          <w:b w:val="1"/>
          <w:sz w:val="36"/>
          <w:szCs w:val="36"/>
        </w:rPr>
      </w:pPr>
      <w:bookmarkStart w:colFirst="0" w:colLast="0" w:name="_xqxglvapyveu" w:id="71"/>
      <w:bookmarkEnd w:id="71"/>
      <w:r w:rsidDel="00000000" w:rsidR="00000000" w:rsidRPr="00000000">
        <w:rPr>
          <w:rtl w:val="0"/>
        </w:rPr>
      </w:r>
    </w:p>
    <w:p w:rsidR="00000000" w:rsidDel="00000000" w:rsidP="00000000" w:rsidRDefault="00000000" w:rsidRPr="00000000" w14:paraId="00000178">
      <w:pPr>
        <w:pStyle w:val="Heading2"/>
        <w:keepNext w:val="0"/>
        <w:keepLines w:val="0"/>
        <w:spacing w:after="80" w:lineRule="auto"/>
        <w:rPr>
          <w:b w:val="1"/>
          <w:sz w:val="36"/>
          <w:szCs w:val="36"/>
        </w:rPr>
      </w:pPr>
      <w:bookmarkStart w:colFirst="0" w:colLast="0" w:name="_z38r17v6rwvj" w:id="72"/>
      <w:bookmarkEnd w:id="72"/>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6"/>
          <w:szCs w:val="36"/>
        </w:rPr>
      </w:pPr>
      <w:bookmarkStart w:colFirst="0" w:colLast="0" w:name="_nkrdgzt4sigi" w:id="73"/>
      <w:bookmarkEnd w:id="73"/>
      <w:r w:rsidDel="00000000" w:rsidR="00000000" w:rsidRPr="00000000">
        <w:rPr>
          <w:rtl w:val="0"/>
        </w:rPr>
      </w:r>
    </w:p>
    <w:p w:rsidR="00000000" w:rsidDel="00000000" w:rsidP="00000000" w:rsidRDefault="00000000" w:rsidRPr="00000000" w14:paraId="0000017A">
      <w:pPr>
        <w:pStyle w:val="Heading2"/>
        <w:keepNext w:val="0"/>
        <w:keepLines w:val="0"/>
        <w:spacing w:after="80" w:lineRule="auto"/>
        <w:rPr>
          <w:b w:val="1"/>
          <w:sz w:val="36"/>
          <w:szCs w:val="36"/>
        </w:rPr>
      </w:pPr>
      <w:bookmarkStart w:colFirst="0" w:colLast="0" w:name="_vqbhzn88dq5j" w:id="74"/>
      <w:bookmarkEnd w:id="74"/>
      <w:r w:rsidDel="00000000" w:rsidR="00000000" w:rsidRPr="00000000">
        <w:rPr>
          <w:rtl w:val="0"/>
        </w:rPr>
      </w:r>
    </w:p>
    <w:p w:rsidR="00000000" w:rsidDel="00000000" w:rsidP="00000000" w:rsidRDefault="00000000" w:rsidRPr="00000000" w14:paraId="0000017B">
      <w:pPr>
        <w:pStyle w:val="Heading2"/>
        <w:keepNext w:val="0"/>
        <w:keepLines w:val="0"/>
        <w:spacing w:after="80" w:lineRule="auto"/>
        <w:rPr>
          <w:i w:val="1"/>
          <w:sz w:val="24"/>
          <w:szCs w:val="24"/>
        </w:rPr>
      </w:pPr>
      <w:bookmarkStart w:colFirst="0" w:colLast="0" w:name="_ss480cncx0kg" w:id="75"/>
      <w:bookmarkEnd w:id="75"/>
      <w:r w:rsidDel="00000000" w:rsidR="00000000" w:rsidRPr="00000000">
        <w:rPr>
          <w:b w:val="1"/>
          <w:sz w:val="36"/>
          <w:szCs w:val="36"/>
          <w:rtl w:val="0"/>
        </w:rPr>
        <w:t xml:space="preserve">10. References</w:t>
      </w:r>
      <w:r w:rsidDel="00000000" w:rsidR="00000000" w:rsidRPr="00000000">
        <w:rPr>
          <w:rtl w:val="0"/>
        </w:rPr>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Adhillah, M.N. et al. (2025) ‘Systematic Literature Review the Development of Enterprise Risk Management’, </w:t>
      </w:r>
      <w:r w:rsidDel="00000000" w:rsidR="00000000" w:rsidRPr="00000000">
        <w:rPr>
          <w:i w:val="1"/>
          <w:sz w:val="24"/>
          <w:szCs w:val="24"/>
          <w:rtl w:val="0"/>
        </w:rPr>
        <w:t xml:space="preserve">Jurnal Manajemen Bisnis, Akuntansi dan Keuangan</w:t>
      </w:r>
      <w:r w:rsidDel="00000000" w:rsidR="00000000" w:rsidRPr="00000000">
        <w:rPr>
          <w:sz w:val="24"/>
          <w:szCs w:val="24"/>
          <w:rtl w:val="0"/>
        </w:rPr>
        <w:t xml:space="preserve">, 4(1), pp.81–100.</w:t>
        <w:br w:type="textWrapping"/>
        <w:br w:type="textWrapping"/>
        <w:t xml:space="preserve"> Aijaz, M. and Nazir, M. (2024) ‘Modelling and analysis of social engineering threats using the attack tree and the Markov model’, </w:t>
      </w:r>
      <w:r w:rsidDel="00000000" w:rsidR="00000000" w:rsidRPr="00000000">
        <w:rPr>
          <w:i w:val="1"/>
          <w:sz w:val="24"/>
          <w:szCs w:val="24"/>
          <w:rtl w:val="0"/>
        </w:rPr>
        <w:t xml:space="preserve">International Journal of Information Technology</w:t>
      </w:r>
      <w:r w:rsidDel="00000000" w:rsidR="00000000" w:rsidRPr="00000000">
        <w:rPr>
          <w:sz w:val="24"/>
          <w:szCs w:val="24"/>
          <w:rtl w:val="0"/>
        </w:rPr>
        <w:t xml:space="preserve">, 16(2), pp.1231–1238.</w:t>
        <w:br w:type="textWrapping"/>
        <w:br w:type="textWrapping"/>
        <w:t xml:space="preserve"> AIRMIC (2010) </w:t>
      </w:r>
      <w:r w:rsidDel="00000000" w:rsidR="00000000" w:rsidRPr="00000000">
        <w:rPr>
          <w:i w:val="1"/>
          <w:sz w:val="24"/>
          <w:szCs w:val="24"/>
          <w:rtl w:val="0"/>
        </w:rPr>
        <w:t xml:space="preserve">A Structured Approach to Enterprise Risk Management</w:t>
      </w:r>
      <w:r w:rsidDel="00000000" w:rsidR="00000000" w:rsidRPr="00000000">
        <w:rPr>
          <w:sz w:val="24"/>
          <w:szCs w:val="24"/>
          <w:rtl w:val="0"/>
        </w:rPr>
        <w:t xml:space="preserve">. AIRMIC Publications.</w:t>
        <w:br w:type="textWrapping"/>
        <w:br w:type="textWrapping"/>
        <w:t xml:space="preserve"> Alhazmi, O. and Malaiya, Y. (2013) ‘Evaluating Disaster Recovery Plans using the Cloud’, </w:t>
      </w:r>
      <w:r w:rsidDel="00000000" w:rsidR="00000000" w:rsidRPr="00000000">
        <w:rPr>
          <w:i w:val="1"/>
          <w:sz w:val="24"/>
          <w:szCs w:val="24"/>
          <w:rtl w:val="0"/>
        </w:rPr>
        <w:t xml:space="preserve">Annual Reliability and Maintainability Symposium</w:t>
      </w:r>
      <w:r w:rsidDel="00000000" w:rsidR="00000000" w:rsidRPr="00000000">
        <w:rPr>
          <w:sz w:val="24"/>
          <w:szCs w:val="24"/>
          <w:rtl w:val="0"/>
        </w:rPr>
        <w:t xml:space="preserve">, 1(1), pp.1–6.</w:t>
        <w:br w:type="textWrapping"/>
        <w:br w:type="textWrapping"/>
        <w:t xml:space="preserve"> Andrade, E. et al. (2017) ‘Availability modelling and analysis of a disaster-recovery-as-a-service solution’, </w:t>
      </w:r>
      <w:r w:rsidDel="00000000" w:rsidR="00000000" w:rsidRPr="00000000">
        <w:rPr>
          <w:i w:val="1"/>
          <w:sz w:val="24"/>
          <w:szCs w:val="24"/>
          <w:rtl w:val="0"/>
        </w:rPr>
        <w:t xml:space="preserve">Computing</w:t>
      </w:r>
      <w:r w:rsidDel="00000000" w:rsidR="00000000" w:rsidRPr="00000000">
        <w:rPr>
          <w:sz w:val="24"/>
          <w:szCs w:val="24"/>
          <w:rtl w:val="0"/>
        </w:rPr>
        <w:t xml:space="preserve">, 99(10), pp.929–934.</w:t>
        <w:br w:type="textWrapping"/>
        <w:br w:type="textWrapping"/>
        <w:t xml:space="preserve"> Aven, T. and Thekdi, S. (2025) </w:t>
      </w:r>
      <w:r w:rsidDel="00000000" w:rsidR="00000000" w:rsidRPr="00000000">
        <w:rPr>
          <w:i w:val="1"/>
          <w:sz w:val="24"/>
          <w:szCs w:val="24"/>
          <w:rtl w:val="0"/>
        </w:rPr>
        <w:t xml:space="preserve">Risk Science</w:t>
      </w:r>
      <w:r w:rsidDel="00000000" w:rsidR="00000000" w:rsidRPr="00000000">
        <w:rPr>
          <w:sz w:val="24"/>
          <w:szCs w:val="24"/>
          <w:rtl w:val="0"/>
        </w:rPr>
        <w:t xml:space="preserve">. 2nd edn. Routledge.</w:t>
        <w:br w:type="textWrapping"/>
        <w:t xml:space="preserve"> ENISA (2023) </w:t>
      </w:r>
      <w:r w:rsidDel="00000000" w:rsidR="00000000" w:rsidRPr="00000000">
        <w:rPr>
          <w:i w:val="1"/>
          <w:sz w:val="24"/>
          <w:szCs w:val="24"/>
          <w:rtl w:val="0"/>
        </w:rPr>
        <w:t xml:space="preserve">Threat Landscape for the Internet of Things</w:t>
      </w:r>
      <w:r w:rsidDel="00000000" w:rsidR="00000000" w:rsidRPr="00000000">
        <w:rPr>
          <w:sz w:val="24"/>
          <w:szCs w:val="24"/>
          <w:rtl w:val="0"/>
        </w:rPr>
        <w:t xml:space="preserve">. European Union Agency for Cybersecurity.</w:t>
        <w:br w:type="textWrapping"/>
        <w:br w:type="textWrapping"/>
        <w:t xml:space="preserve"> Fizell, Z. (2022) ‘How to Create a Monte Carlo Simulation using Python’. </w:t>
      </w:r>
      <w:r w:rsidDel="00000000" w:rsidR="00000000" w:rsidRPr="00000000">
        <w:rPr>
          <w:i w:val="1"/>
          <w:sz w:val="24"/>
          <w:szCs w:val="24"/>
          <w:rtl w:val="0"/>
        </w:rPr>
        <w:t xml:space="preserve">Medium Tech Journal</w:t>
      </w:r>
      <w:r w:rsidDel="00000000" w:rsidR="00000000" w:rsidRPr="00000000">
        <w:rPr>
          <w:sz w:val="24"/>
          <w:szCs w:val="24"/>
          <w:rtl w:val="0"/>
        </w:rPr>
        <w:t xml:space="preserve">, 15(3), pp.45–60.</w:t>
        <w:br w:type="textWrapping"/>
        <w:br w:type="textWrapping"/>
        <w:t xml:space="preserve"> Fraser, J.R.S., Quail, R. and Simkins, B. (2021) </w:t>
      </w:r>
      <w:r w:rsidDel="00000000" w:rsidR="00000000" w:rsidRPr="00000000">
        <w:rPr>
          <w:i w:val="1"/>
          <w:sz w:val="24"/>
          <w:szCs w:val="24"/>
          <w:rtl w:val="0"/>
        </w:rPr>
        <w:t xml:space="preserve">Enterprise Risk Management</w:t>
      </w:r>
      <w:r w:rsidDel="00000000" w:rsidR="00000000" w:rsidRPr="00000000">
        <w:rPr>
          <w:sz w:val="24"/>
          <w:szCs w:val="24"/>
          <w:rtl w:val="0"/>
        </w:rPr>
        <w:t xml:space="preserve">. Springer.</w:t>
        <w:br w:type="textWrapping"/>
        <w:br w:type="textWrapping"/>
        <w:t xml:space="preserve"> Hancock, J. et al. (2024) ‘Trouble at Sea: Data and digital technology challenges for maritime human rights concerns’, </w:t>
      </w:r>
      <w:r w:rsidDel="00000000" w:rsidR="00000000" w:rsidRPr="00000000">
        <w:rPr>
          <w:i w:val="1"/>
          <w:sz w:val="24"/>
          <w:szCs w:val="24"/>
          <w:rtl w:val="0"/>
        </w:rPr>
        <w:t xml:space="preserve">ACM FAT Conference Proceedings</w:t>
      </w:r>
      <w:r w:rsidDel="00000000" w:rsidR="00000000" w:rsidRPr="00000000">
        <w:rPr>
          <w:sz w:val="24"/>
          <w:szCs w:val="24"/>
          <w:rtl w:val="0"/>
        </w:rPr>
        <w:t xml:space="preserve">, pp.988–1001.</w:t>
        <w:br w:type="textWrapping"/>
        <w:t xml:space="preserve"> Hubbard, D. (2020) </w:t>
      </w:r>
      <w:r w:rsidDel="00000000" w:rsidR="00000000" w:rsidRPr="00000000">
        <w:rPr>
          <w:i w:val="1"/>
          <w:sz w:val="24"/>
          <w:szCs w:val="24"/>
          <w:rtl w:val="0"/>
        </w:rPr>
        <w:t xml:space="preserve">The Failure of Risk Management: Why it’s Broken and How to Fix it</w:t>
      </w:r>
      <w:r w:rsidDel="00000000" w:rsidR="00000000" w:rsidRPr="00000000">
        <w:rPr>
          <w:sz w:val="24"/>
          <w:szCs w:val="24"/>
          <w:rtl w:val="0"/>
        </w:rPr>
        <w:t xml:space="preserve">. Wiley.</w:t>
        <w:br w:type="textWrapping"/>
        <w:br w:type="textWrapping"/>
        <w:t xml:space="preserve"> Kalogiannidis, S. et al. (2024) ‘The role of artificial intelligence in predictive risk assessment for business continuity: A case study of Greece’, </w:t>
      </w:r>
      <w:r w:rsidDel="00000000" w:rsidR="00000000" w:rsidRPr="00000000">
        <w:rPr>
          <w:i w:val="1"/>
          <w:sz w:val="24"/>
          <w:szCs w:val="24"/>
          <w:rtl w:val="0"/>
        </w:rPr>
        <w:t xml:space="preserve">Risks</w:t>
      </w:r>
      <w:r w:rsidDel="00000000" w:rsidR="00000000" w:rsidRPr="00000000">
        <w:rPr>
          <w:sz w:val="24"/>
          <w:szCs w:val="24"/>
          <w:rtl w:val="0"/>
        </w:rPr>
        <w:t xml:space="preserve">, 12(2), p.19.</w:t>
        <w:br w:type="textWrapping"/>
        <w:br w:type="textWrapping"/>
        <w:t xml:space="preserve"> </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Kurtz, W.J. et al. (2024) ‘Shedding light on CVSS scoring inconsistencies’, </w:t>
      </w:r>
      <w:r w:rsidDel="00000000" w:rsidR="00000000" w:rsidRPr="00000000">
        <w:rPr>
          <w:i w:val="1"/>
          <w:sz w:val="24"/>
          <w:szCs w:val="24"/>
          <w:rtl w:val="0"/>
        </w:rPr>
        <w:t xml:space="preserve">IEEE Symposium on Security and Privacy</w:t>
      </w:r>
      <w:r w:rsidDel="00000000" w:rsidR="00000000" w:rsidRPr="00000000">
        <w:rPr>
          <w:sz w:val="24"/>
          <w:szCs w:val="24"/>
          <w:rtl w:val="0"/>
        </w:rPr>
        <w:t xml:space="preserve">, pp.1102–1121.</w:t>
        <w:br w:type="textWrapping"/>
        <w:br w:type="textWrapping"/>
        <w:t xml:space="preserve"> NIST (2022) </w:t>
      </w:r>
      <w:r w:rsidDel="00000000" w:rsidR="00000000" w:rsidRPr="00000000">
        <w:rPr>
          <w:i w:val="1"/>
          <w:sz w:val="24"/>
          <w:szCs w:val="24"/>
          <w:rtl w:val="0"/>
        </w:rPr>
        <w:t xml:space="preserve">IT Laboratory Computer Security Resource Center</w:t>
      </w:r>
      <w:r w:rsidDel="00000000" w:rsidR="00000000" w:rsidRPr="00000000">
        <w:rPr>
          <w:sz w:val="24"/>
          <w:szCs w:val="24"/>
          <w:rtl w:val="0"/>
        </w:rPr>
        <w:t xml:space="preserve">. U.S. Department of Commerce.</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Olson, D.L. and Desheng, D.W. (2020) </w:t>
      </w:r>
      <w:r w:rsidDel="00000000" w:rsidR="00000000" w:rsidRPr="00000000">
        <w:rPr>
          <w:i w:val="1"/>
          <w:sz w:val="24"/>
          <w:szCs w:val="24"/>
          <w:rtl w:val="0"/>
        </w:rPr>
        <w:t xml:space="preserve">Enterprise Risk Management Models</w:t>
      </w:r>
      <w:r w:rsidDel="00000000" w:rsidR="00000000" w:rsidRPr="00000000">
        <w:rPr>
          <w:sz w:val="24"/>
          <w:szCs w:val="24"/>
          <w:rtl w:val="0"/>
        </w:rPr>
        <w:t xml:space="preserve">. Springer.</w:t>
        <w:br w:type="textWrapping"/>
        <w:br w:type="textWrapping"/>
        <w:t xml:space="preserve"> Popov, G., Lyon, B. and Hollcroft, B. (2022) </w:t>
      </w:r>
      <w:r w:rsidDel="00000000" w:rsidR="00000000" w:rsidRPr="00000000">
        <w:rPr>
          <w:i w:val="1"/>
          <w:sz w:val="24"/>
          <w:szCs w:val="24"/>
          <w:rtl w:val="0"/>
        </w:rPr>
        <w:t xml:space="preserve">Risk Assessment</w:t>
      </w:r>
      <w:r w:rsidDel="00000000" w:rsidR="00000000" w:rsidRPr="00000000">
        <w:rPr>
          <w:sz w:val="24"/>
          <w:szCs w:val="24"/>
          <w:rtl w:val="0"/>
        </w:rPr>
        <w:t xml:space="preserve">. CRC Press.</w:t>
        <w:br w:type="textWrapping"/>
        <w:t xml:space="preserve"> Renn, O., Beier, G. and Schweizer, P.-J. (2021) ‘The opportunities and risks of digitalisation for sustainable development’, </w:t>
      </w:r>
      <w:r w:rsidDel="00000000" w:rsidR="00000000" w:rsidRPr="00000000">
        <w:rPr>
          <w:i w:val="1"/>
          <w:sz w:val="24"/>
          <w:szCs w:val="24"/>
          <w:rtl w:val="0"/>
        </w:rPr>
        <w:t xml:space="preserve">GAIA</w:t>
      </w:r>
      <w:r w:rsidDel="00000000" w:rsidR="00000000" w:rsidRPr="00000000">
        <w:rPr>
          <w:sz w:val="24"/>
          <w:szCs w:val="24"/>
          <w:rtl w:val="0"/>
        </w:rPr>
        <w:t xml:space="preserve">, 30(1), pp.23–28.</w:t>
        <w:br w:type="textWrapping"/>
        <w:br w:type="textWrapping"/>
        <w:t xml:space="preserve"> Sutton, D. (2021) </w:t>
      </w:r>
      <w:r w:rsidDel="00000000" w:rsidR="00000000" w:rsidRPr="00000000">
        <w:rPr>
          <w:i w:val="1"/>
          <w:sz w:val="24"/>
          <w:szCs w:val="24"/>
          <w:rtl w:val="0"/>
        </w:rPr>
        <w:t xml:space="preserve">Information Risk Management</w:t>
      </w:r>
      <w:r w:rsidDel="00000000" w:rsidR="00000000" w:rsidRPr="00000000">
        <w:rPr>
          <w:sz w:val="24"/>
          <w:szCs w:val="24"/>
          <w:rtl w:val="0"/>
        </w:rPr>
        <w:t xml:space="preserve">. BCS Publications.</w:t>
        <w:br w:type="textWrapping"/>
        <w:t xml:space="preserve"> Wang, J., Neil, M. and Fenton, N. (2020) ‘A Bayesian network approach for cybersecurity risk assessment’, </w:t>
      </w:r>
      <w:r w:rsidDel="00000000" w:rsidR="00000000" w:rsidRPr="00000000">
        <w:rPr>
          <w:i w:val="1"/>
          <w:sz w:val="24"/>
          <w:szCs w:val="24"/>
          <w:rtl w:val="0"/>
        </w:rPr>
        <w:t xml:space="preserve">Computers &amp; Security</w:t>
      </w:r>
      <w:r w:rsidDel="00000000" w:rsidR="00000000" w:rsidRPr="00000000">
        <w:rPr>
          <w:sz w:val="24"/>
          <w:szCs w:val="24"/>
          <w:rtl w:val="0"/>
        </w:rPr>
        <w:t xml:space="preserve">, 89, p.101659.</w:t>
        <w:br w:type="textWrapping"/>
        <w:br w:type="textWrapping"/>
        <w:t xml:space="preserve"> Zografopoulos, I. et al. (2021) ‘Cyber-physical energy systems security: Threat modelling, risk assessment, resources, metrics, and case studies’, </w:t>
      </w:r>
      <w:r w:rsidDel="00000000" w:rsidR="00000000" w:rsidRPr="00000000">
        <w:rPr>
          <w:i w:val="1"/>
          <w:sz w:val="24"/>
          <w:szCs w:val="24"/>
          <w:rtl w:val="0"/>
        </w:rPr>
        <w:t xml:space="preserve">IEEE Access</w:t>
      </w:r>
      <w:r w:rsidDel="00000000" w:rsidR="00000000" w:rsidRPr="00000000">
        <w:rPr>
          <w:sz w:val="24"/>
          <w:szCs w:val="24"/>
          <w:rtl w:val="0"/>
        </w:rPr>
        <w:t xml:space="preserve">, 9, pp.29775–29818.</w:t>
      </w:r>
    </w:p>
    <w:p w:rsidR="00000000" w:rsidDel="00000000" w:rsidP="00000000" w:rsidRDefault="00000000" w:rsidRPr="00000000" w14:paraId="0000017F">
      <w:pPr>
        <w:rPr>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