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E1E4" w:sz="4"/>
              <w:left w:val="single" w:color="D9E1E4" w:sz="4"/>
              <w:bottom w:val="single" w:color="D9E1E4" w:sz="4"/>
              <w:right w:val="single" w:color="D9E1E4" w:sz="4"/>
            </w:tcBorders>
            <w:shd w:fill="1A2830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r>
              <w:rPr>
                <w:rFonts w:ascii="Consolas" w:cs="Consolas" w:eastAsia="Consolas" w:hAnsi="Consolas"/>
                <w:color w:val="7FC4C0"/>
                <w:sz w:val="18"/>
                <w:szCs w:val="18"/>
              </w:rPr>
              <w:t xml:space="preserve">MODULE 1 · FOUNDATIONS OF GENERATIVE AI · SESSION 05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Debrief — Building the GoRoute Support Agent</w:t>
            </w:r>
          </w:p>
          <w:p>
            <w:pPr>
              <w:spacing w:before="60"/>
            </w:pPr>
            <w:r>
              <w:rPr>
                <w:color w:val="A9BCC2"/>
                <w:sz w:val="20"/>
                <w:szCs w:val="20"/>
              </w:rPr>
              <w:t xml:space="preserve">A personal reflection in 3 simple parts · plain words are perfect — this is just for you.</w:t>
            </w:r>
          </w:p>
        </w:tc>
      </w:tr>
    </w:tbl>
    <w:p>
      <w:pPr>
        <w:spacing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9E1E4" w:sz="4"/>
              <w:left w:val="single" w:color="D9E1E4" w:sz="4"/>
              <w:bottom w:val="single" w:color="D9E1E4" w:sz="4"/>
              <w:right w:val="single" w:color="D9E1E4" w:sz="4"/>
            </w:tcBorders>
            <w:shd w:fill="E3EF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D9E1E4" w:sz="4"/>
              <w:left w:val="single" w:color="D9E1E4" w:sz="4"/>
              <w:bottom w:val="single" w:color="D9E1E4" w:sz="4"/>
              <w:right w:val="single" w:color="D9E1E4" w:sz="4"/>
            </w:tcBorders>
            <w:shd w:fill="E3EF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6B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40"/>
            <w:tcBorders>
              <w:top w:val="single" w:color="D9E1E4" w:sz="4"/>
              <w:left w:val="single" w:color="D9E1E4" w:sz="4"/>
              <w:bottom w:val="single" w:color="D9E1E4" w:sz="4"/>
              <w:right w:val="single" w:color="D9E1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5040"/>
            <w:tcBorders>
              <w:top w:val="single" w:color="D9E1E4" w:sz="4"/>
              <w:left w:val="single" w:color="D9E1E4" w:sz="4"/>
              <w:bottom w:val="single" w:color="D9E1E4" w:sz="4"/>
              <w:right w:val="single" w:color="D9E1E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Style w:val="Heading1"/>
        <w:spacing w:after="40" w:before="400"/>
      </w:pPr>
      <w:r>
        <w:rPr>
          <w:rFonts w:ascii="Consolas" w:cs="Consolas" w:eastAsia="Consolas" w:hAnsi="Consolas"/>
          <w:b/>
          <w:bCs/>
          <w:color w:val="0F6E6B"/>
          <w:sz w:val="24"/>
          <w:szCs w:val="24"/>
        </w:rPr>
        <w:t xml:space="preserve">PART 1  </w:t>
      </w:r>
      <w:r>
        <w:rPr>
          <w:rFonts w:ascii="Calibri" w:cs="Calibri" w:eastAsia="Calibri" w:hAnsi="Calibri"/>
          <w:b/>
          <w:bCs/>
          <w:color w:val="1A2830"/>
          <w:sz w:val="28"/>
          <w:szCs w:val="28"/>
        </w:rPr>
        <w:t xml:space="preserve">What did I just build?</w:t>
      </w:r>
    </w:p>
    <w:p>
      <w:pPr>
        <w:pBdr>
          <w:bottom w:val="single" w:color="0F6E6B" w:sz="6"/>
        </w:pBdr>
        <w:spacing w:after="80"/>
      </w:pPr>
      <w:r>
        <w:rPr>
          <w:i/>
          <w:iCs/>
          <w:color w:val="5D7079"/>
          <w:sz w:val="20"/>
          <w:szCs w:val="20"/>
        </w:rPr>
        <w:t xml:space="preserve">No technical words needed — explain it like you would to a friend.</w:t>
      </w:r>
    </w:p>
    <w:p>
      <w:pPr>
        <w:spacing w:after="60" w:before="280"/>
      </w:pPr>
      <w:r>
        <w:rPr>
          <w:rFonts w:ascii="Consolas" w:cs="Consolas" w:eastAsia="Consolas" w:hAnsi="Consolas"/>
          <w:b/>
          <w:bCs/>
          <w:color w:val="0F6E6B"/>
          <w:sz w:val="21"/>
          <w:szCs w:val="21"/>
        </w:rPr>
        <w:t xml:space="preserve">1.1  </w:t>
      </w:r>
      <w:r>
        <w:rPr>
          <w:rFonts w:ascii="Calibri" w:cs="Calibri" w:eastAsia="Calibri" w:hAnsi="Calibri"/>
          <w:b/>
          <w:bCs/>
          <w:color w:val="1A2830"/>
          <w:sz w:val="21"/>
          <w:szCs w:val="21"/>
        </w:rPr>
        <w:t xml:space="preserve">In one or two simple sentences: what does the helper you built actually do?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5D7079"/>
          <w:sz w:val="19"/>
          <w:szCs w:val="19"/>
        </w:rPr>
        <w:t xml:space="preserve">Example of the kind of answer: “It answers questions for GoRoute drivers and couriers, and gives each group only the information meant for them.”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80"/>
      </w:pPr>
      <w:r>
        <w:rPr>
          <w:rFonts w:ascii="Consolas" w:cs="Consolas" w:eastAsia="Consolas" w:hAnsi="Consolas"/>
          <w:b/>
          <w:bCs/>
          <w:color w:val="0F6E6B"/>
          <w:sz w:val="21"/>
          <w:szCs w:val="21"/>
        </w:rPr>
        <w:t xml:space="preserve">1.2  </w:t>
      </w:r>
      <w:r>
        <w:rPr>
          <w:rFonts w:ascii="Calibri" w:cs="Calibri" w:eastAsia="Calibri" w:hAnsi="Calibri"/>
          <w:b/>
          <w:bCs/>
          <w:color w:val="1A2830"/>
          <w:sz w:val="21"/>
          <w:szCs w:val="21"/>
        </w:rPr>
        <w:t xml:space="preserve">When you typed “How do I update my payment info?”, the helper first asked: “Are you a driver or a courier?” Why was that a smart thing for it to do?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after="40" w:before="400"/>
      </w:pPr>
      <w:r>
        <w:rPr>
          <w:rFonts w:ascii="Consolas" w:cs="Consolas" w:eastAsia="Consolas" w:hAnsi="Consolas"/>
          <w:b/>
          <w:bCs/>
          <w:color w:val="0F6E6B"/>
          <w:sz w:val="24"/>
          <w:szCs w:val="24"/>
        </w:rPr>
        <w:t xml:space="preserve">PART 2  </w:t>
      </w:r>
      <w:r>
        <w:rPr>
          <w:rFonts w:ascii="Calibri" w:cs="Calibri" w:eastAsia="Calibri" w:hAnsi="Calibri"/>
          <w:b/>
          <w:bCs/>
          <w:color w:val="1A2830"/>
          <w:sz w:val="28"/>
          <w:szCs w:val="28"/>
        </w:rPr>
        <w:t xml:space="preserve">What made it smart (and safe)?</w:t>
      </w:r>
    </w:p>
    <w:p>
      <w:pPr>
        <w:pBdr>
          <w:bottom w:val="single" w:color="0F6E6B" w:sz="6"/>
        </w:pBdr>
        <w:spacing w:after="80"/>
      </w:pPr>
      <w:r>
        <w:rPr>
          <w:i/>
          <w:iCs/>
          <w:color w:val="5D7079"/>
          <w:sz w:val="20"/>
          <w:szCs w:val="20"/>
        </w:rPr>
        <w:t xml:space="preserve">Think about the small settings that made a big difference.</w:t>
      </w:r>
    </w:p>
    <w:p>
      <w:pPr>
        <w:spacing w:after="60" w:before="280"/>
      </w:pPr>
      <w:r>
        <w:rPr>
          <w:rFonts w:ascii="Consolas" w:cs="Consolas" w:eastAsia="Consolas" w:hAnsi="Consolas"/>
          <w:b/>
          <w:bCs/>
          <w:color w:val="0F6E6B"/>
          <w:sz w:val="21"/>
          <w:szCs w:val="21"/>
        </w:rPr>
        <w:t xml:space="preserve">2.1  </w:t>
      </w:r>
      <w:r>
        <w:rPr>
          <w:rFonts w:ascii="Calibri" w:cs="Calibri" w:eastAsia="Calibri" w:hAnsi="Calibri"/>
          <w:b/>
          <w:bCs/>
          <w:color w:val="1A2830"/>
          <w:sz w:val="21"/>
          <w:szCs w:val="21"/>
        </w:rPr>
        <w:t xml:space="preserve">One setting kept driver information and courier information separate. What could go wrong at GoRoute if that separation was removed?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5D7079"/>
          <w:sz w:val="19"/>
          <w:szCs w:val="19"/>
        </w:rPr>
        <w:t xml:space="preserve">Imagine a courier being told the rules meant for drivers — what problems could that cause for real people?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80"/>
      </w:pPr>
      <w:r>
        <w:rPr>
          <w:rFonts w:ascii="Consolas" w:cs="Consolas" w:eastAsia="Consolas" w:hAnsi="Consolas"/>
          <w:b/>
          <w:bCs/>
          <w:color w:val="0F6E6B"/>
          <w:sz w:val="21"/>
          <w:szCs w:val="21"/>
        </w:rPr>
        <w:t xml:space="preserve">2.2  </w:t>
      </w:r>
      <w:r>
        <w:rPr>
          <w:rFonts w:ascii="Calibri" w:cs="Calibri" w:eastAsia="Calibri" w:hAnsi="Calibri"/>
          <w:b/>
          <w:bCs/>
          <w:color w:val="1A2830"/>
          <w:sz w:val="21"/>
          <w:szCs w:val="21"/>
        </w:rPr>
        <w:t xml:space="preserve">The helper was told to answer ONLY from the GoRoute help pages — never from its own general knowledge. Why is that a good rule for a company helper?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5D7079"/>
          <w:sz w:val="19"/>
          <w:szCs w:val="19"/>
        </w:rPr>
        <w:t xml:space="preserve">Think: what if it guessed a pay rate or a policy and got it wrong?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spacing w:after="40" w:before="400"/>
      </w:pPr>
      <w:r>
        <w:rPr>
          <w:rFonts w:ascii="Consolas" w:cs="Consolas" w:eastAsia="Consolas" w:hAnsi="Consolas"/>
          <w:b/>
          <w:bCs/>
          <w:color w:val="0F6E6B"/>
          <w:sz w:val="24"/>
          <w:szCs w:val="24"/>
        </w:rPr>
        <w:t xml:space="preserve">PART 3  </w:t>
      </w:r>
      <w:r>
        <w:rPr>
          <w:rFonts w:ascii="Calibri" w:cs="Calibri" w:eastAsia="Calibri" w:hAnsi="Calibri"/>
          <w:b/>
          <w:bCs/>
          <w:color w:val="1A2830"/>
          <w:sz w:val="28"/>
          <w:szCs w:val="28"/>
        </w:rPr>
        <w:t xml:space="preserve">My key learnings</w:t>
      </w:r>
    </w:p>
    <w:p>
      <w:pPr>
        <w:pBdr>
          <w:bottom w:val="single" w:color="0F6E6B" w:sz="6"/>
        </w:pBdr>
        <w:spacing w:after="80"/>
      </w:pPr>
      <w:r>
        <w:rPr>
          <w:i/>
          <w:iCs/>
          <w:color w:val="5D7079"/>
          <w:sz w:val="20"/>
          <w:szCs w:val="20"/>
        </w:rPr>
        <w:t xml:space="preserve">This is the most important part — take your time here.</w:t>
      </w:r>
    </w:p>
    <w:p>
      <w:pPr>
        <w:spacing w:after="60" w:before="280"/>
      </w:pPr>
      <w:r>
        <w:rPr>
          <w:rFonts w:ascii="Consolas" w:cs="Consolas" w:eastAsia="Consolas" w:hAnsi="Consolas"/>
          <w:b/>
          <w:bCs/>
          <w:color w:val="0F6E6B"/>
          <w:sz w:val="21"/>
          <w:szCs w:val="21"/>
        </w:rPr>
        <w:t xml:space="preserve">3.1  </w:t>
      </w:r>
      <w:r>
        <w:rPr>
          <w:rFonts w:ascii="Calibri" w:cs="Calibri" w:eastAsia="Calibri" w:hAnsi="Calibri"/>
          <w:b/>
          <w:bCs/>
          <w:color w:val="1A2830"/>
          <w:sz w:val="21"/>
          <w:szCs w:val="21"/>
        </w:rPr>
        <w:t xml:space="preserve">Write down your top 3 learnings from today’s session, in your own words: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single" w:color="D9E1E4" w:sz="4"/>
              <w:left w:val="single" w:color="D9E1E4" w:sz="4"/>
              <w:bottom w:val="single" w:color="D9E1E4" w:sz="4"/>
              <w:right w:val="single" w:color="D9E1E4" w:sz="4"/>
            </w:tcBorders>
            <w:shd w:fill="E3EF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6E6B"/>
                <w:sz w:val="24"/>
                <w:szCs w:val="24"/>
              </w:rPr>
              <w:t xml:space="preserve">1</w:t>
            </w:r>
          </w:p>
        </w:tc>
        <w:tc>
          <w:tcPr>
            <w:tcW w:type="dxa" w:w="9180"/>
            <w:tcBorders>
              <w:top w:val="single" w:color="D9E1E4" w:sz="4"/>
              <w:left w:val="single" w:color="D9E1E4" w:sz="4"/>
              <w:bottom w:val="single" w:color="D9E1E4" w:sz="4"/>
              <w:right w:val="single" w:color="D9E1E4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9E1E4" w:sz="4"/>
              <w:left w:val="single" w:color="D9E1E4" w:sz="4"/>
              <w:bottom w:val="single" w:color="D9E1E4" w:sz="4"/>
              <w:right w:val="single" w:color="D9E1E4" w:sz="4"/>
            </w:tcBorders>
            <w:shd w:fill="E3EF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6E6B"/>
                <w:sz w:val="24"/>
                <w:szCs w:val="24"/>
              </w:rPr>
              <w:t xml:space="preserve">2</w:t>
            </w:r>
          </w:p>
        </w:tc>
        <w:tc>
          <w:tcPr>
            <w:tcW w:type="dxa" w:w="9180"/>
            <w:tcBorders>
              <w:top w:val="single" w:color="D9E1E4" w:sz="4"/>
              <w:left w:val="single" w:color="D9E1E4" w:sz="4"/>
              <w:bottom w:val="single" w:color="D9E1E4" w:sz="4"/>
              <w:right w:val="single" w:color="D9E1E4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9E1E4" w:sz="4"/>
              <w:left w:val="single" w:color="D9E1E4" w:sz="4"/>
              <w:bottom w:val="single" w:color="D9E1E4" w:sz="4"/>
              <w:right w:val="single" w:color="D9E1E4" w:sz="4"/>
            </w:tcBorders>
            <w:shd w:fill="E3EF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6E6B"/>
                <w:sz w:val="24"/>
                <w:szCs w:val="24"/>
              </w:rPr>
              <w:t xml:space="preserve">3</w:t>
            </w:r>
          </w:p>
        </w:tc>
        <w:tc>
          <w:tcPr>
            <w:tcW w:type="dxa" w:w="9180"/>
            <w:tcBorders>
              <w:top w:val="single" w:color="D9E1E4" w:sz="4"/>
              <w:left w:val="single" w:color="D9E1E4" w:sz="4"/>
              <w:bottom w:val="single" w:color="D9E1E4" w:sz="4"/>
              <w:right w:val="single" w:color="D9E1E4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spacing w:after="60" w:before="280"/>
      </w:pPr>
      <w:r>
        <w:rPr>
          <w:rFonts w:ascii="Consolas" w:cs="Consolas" w:eastAsia="Consolas" w:hAnsi="Consolas"/>
          <w:b/>
          <w:bCs/>
          <w:color w:val="0F6E6B"/>
          <w:sz w:val="21"/>
          <w:szCs w:val="21"/>
        </w:rPr>
        <w:t xml:space="preserve">3.2  </w:t>
      </w:r>
      <w:r>
        <w:rPr>
          <w:rFonts w:ascii="Calibri" w:cs="Calibri" w:eastAsia="Calibri" w:hAnsi="Calibri"/>
          <w:b/>
          <w:bCs/>
          <w:color w:val="1A2830"/>
          <w:sz w:val="21"/>
          <w:szCs w:val="21"/>
        </w:rPr>
        <w:t xml:space="preserve">Where in your own work or daily life could a helper like this be useful? Describe one idea.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5D7079"/>
          <w:sz w:val="19"/>
          <w:szCs w:val="19"/>
        </w:rPr>
        <w:t xml:space="preserve">For example: answering common questions for new employees, customers, students, or family members — anywhere different people need different answers.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80"/>
      </w:pPr>
      <w:r>
        <w:rPr>
          <w:rFonts w:ascii="Consolas" w:cs="Consolas" w:eastAsia="Consolas" w:hAnsi="Consolas"/>
          <w:b/>
          <w:bCs/>
          <w:color w:val="0F6E6B"/>
          <w:sz w:val="21"/>
          <w:szCs w:val="21"/>
        </w:rPr>
        <w:t xml:space="preserve">3.3  </w:t>
      </w:r>
      <w:r>
        <w:rPr>
          <w:rFonts w:ascii="Calibri" w:cs="Calibri" w:eastAsia="Calibri" w:hAnsi="Calibri"/>
          <w:b/>
          <w:bCs/>
          <w:color w:val="1A2830"/>
          <w:sz w:val="21"/>
          <w:szCs w:val="21"/>
        </w:rPr>
        <w:t xml:space="preserve">One thing I am still curious about, or want to try next: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/>
              <w:left w:val="none"/>
              <w:bottom w:val="single" w:color="D9E1E4" w:sz="4"/>
              <w:right w:val="none"/>
            </w:tcBorders>
          </w:tcPr>
          <w:p>
            <w:pPr>
              <w:spacing w:after="0" w:before="16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Bdr>
          <w:top w:val="single" w:color="D9E1E4" w:sz="4"/>
        </w:pBdr>
        <w:spacing w:before="360"/>
      </w:pPr>
      <w:r>
        <w:rPr>
          <w:rFonts w:ascii="Consolas" w:cs="Consolas" w:eastAsia="Consolas" w:hAnsi="Consolas"/>
          <w:color w:val="5D7079"/>
          <w:sz w:val="17"/>
          <w:szCs w:val="17"/>
        </w:rPr>
        <w:t xml:space="preserve">Session 05 · AI Agents as an Extension of Chatbots · Individual Debrief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8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2026-08-05T04:03:48.036Z</dcterms:created>
  <dcterms:modified xsi:type="dcterms:W3CDTF">2026-08-05T04:03:48.053Z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