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MARKETING &amp; PRE-SALES AUDIT</w:t>
      </w:r>
    </w:p>
    <w:p>
      <w:pPr>
        <w:spacing w:after="40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Demand Quality, Revenue Reality, Pipeline Health &amp; Action Plan</w:t>
      </w:r>
    </w:p>
    <w:p>
      <w:pPr>
        <w:spacing w:after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Sell.Do — Kylas CRM · Pre-Sales team (Revati Ambike, Ashwini Nirmal, Gayatri More)</w:t>
      </w:r>
    </w:p>
    <w:p>
      <w:pPr>
        <w:pBdr>
          <w:top w:val="single" w:color="1F6E6E" w:sz="12" w:space="6"/>
        </w:pBdr>
        <w:spacing w:after="20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Audience: </w:t>
      </w:r>
      <w:r>
        <w:rPr>
          <w:rFonts w:ascii="Arial" w:cs="Arial" w:eastAsia="Arial" w:hAnsi="Arial"/>
        </w:rPr>
        <w:t xml:space="preserve">Marketing &amp; Pre-Sales teams (shared manager)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Period reviewed: </w:t>
      </w:r>
      <w:r>
        <w:rPr>
          <w:rFonts w:ascii="Arial" w:cs="Arial" w:eastAsia="Arial" w:hAnsi="Arial"/>
        </w:rPr>
        <w:t xml:space="preserve">June 2026 (demand quality) and Jan–Jun 2026 (revenue). Pipeline snapshot as of 6 Jul 2026.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Purpose: </w:t>
      </w:r>
      <w:r>
        <w:rPr>
          <w:rFonts w:ascii="Arial" w:cs="Arial" w:eastAsia="Arial" w:hAnsi="Arial"/>
        </w:rPr>
        <w:t xml:space="preserve">An evidence-based audit of the pre-sales/marketing funnel — what we generated, what actually converts, where revenue really comes from, and a prioritised plan. Every figure is traceable to a Kylas query or the per-deal dataset cited alongside it.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Status: </w:t>
      </w:r>
      <w:r>
        <w:rPr>
          <w:rFonts w:ascii="Arial" w:cs="Arial" w:eastAsia="Arial" w:hAnsi="Arial"/>
        </w:rPr>
        <w:t xml:space="preserve">Internal — for review and action.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0. How to read this report (scope, data &amp; method)</w:t>
      </w:r>
    </w:p>
    <w:p>
      <w:pPr>
        <w:spacing w:after="120"/>
      </w:pPr>
      <w:r>
        <w:rPr>
          <w:rFonts w:ascii="Arial" w:cs="Arial" w:eastAsia="Arial" w:hAnsi="Arial"/>
        </w:rPr>
        <w:t xml:space="preserve">So the findings can be actioned rather than debated, here is exactly how every number was produced. Anyone can reproduce them in Kylas with the filters below.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</w:rPr>
        <w:t xml:space="preserve">Who counts as Pre-Sales: </w:t>
      </w:r>
      <w:r>
        <w:rPr>
          <w:rFonts w:ascii="Arial" w:cs="Arial" w:eastAsia="Arial" w:hAnsi="Arial"/>
        </w:rPr>
        <w:t xml:space="preserve">the CRM team “Pre-sales team” (Kylas report 361026 filter: Created-By Team = Pre-sales team). Members with activity in the period: Revati Ambike, Ashwini Nirmal, Gayatri More.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</w:rPr>
        <w:t xml:space="preserve">June demo universe (253): </w:t>
      </w:r>
      <w:r>
        <w:rPr>
          <w:rFonts w:ascii="Arial" w:cs="Arial" w:eastAsia="Arial" w:hAnsi="Arial"/>
        </w:rPr>
        <w:t xml:space="preserve">deals with a meeting/demo actually conducted in June — cfMeetingConductedOn between 01–30 Jun 2026 (IST), created by the Pre-sales team. The CRM list view shows 241 only because its default time cut-off is 17:00 on the 1st/30th; the full calendar month is 253.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</w:rPr>
        <w:t xml:space="preserve">Revenue universe (closures): </w:t>
      </w:r>
      <w:r>
        <w:rPr>
          <w:rFonts w:ascii="Arial" w:cs="Arial" w:eastAsia="Arial" w:hAnsi="Arial"/>
        </w:rPr>
        <w:t xml:space="preserve">deals in the Sell.Do Deal Pipeline (5313) that reached Won/Booked (stage 35813) with actualClosureDate in the period, created by the Pre-sales team. Revenue = cfBilledAmount; cash = cfActualPaymentReceived.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</w:rPr>
        <w:t xml:space="preserve">Open pipeline: </w:t>
      </w:r>
      <w:r>
        <w:rPr>
          <w:rFonts w:ascii="Arial" w:cs="Arial" w:eastAsia="Arial" w:hAnsi="Arial"/>
        </w:rPr>
        <w:t xml:space="preserve">forecastingType = OPEN, pipeline 5313, created 2026, Pre-sales team (480 deals). The triage focuses on the 150 that are genuinely workable: demo done, 5+ licences, updated since 15 May.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</w:rPr>
        <w:t xml:space="preserve">Quality verdict (GREEN/AMBER/RED) and conversion probability: </w:t>
      </w:r>
      <w:r>
        <w:rPr>
          <w:rFonts w:ascii="Arial" w:cs="Arial" w:eastAsia="Arial" w:hAnsi="Arial"/>
        </w:rPr>
        <w:t xml:space="preserve">an independent read produced for this audit by reading every deal’s structured fields AND free-text notes against a fixed rubric, then a probability model fitted on the June outcomes. This is NOT the hourly CRON’s output; it has since been wired into the deal-audit skill so the CRON now stamps the same band.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</w:rPr>
        <w:t xml:space="preserve">Coverage note: </w:t>
      </w:r>
      <w:r>
        <w:rPr>
          <w:rFonts w:ascii="Arial" w:cs="Arial" w:eastAsia="Arial" w:hAnsi="Arial"/>
        </w:rPr>
        <w:t xml:space="preserve">253/253 June demos and 150/150 open deals were fetched with full notes. For the 6-month closures, 208 of 216 were fetched cleanly (96%); totals below are on the 208 and are therefore slight under-counts, not over-counts.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Source: Kylas CRM search API (pipeline 5313), report 361026, and per-deal exports stored in master_dataset.csv, closures_dataset.csv, closures6m/, open_pipeline_focus.csv.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</w:rPr>
        <w:t xml:space="preserve">The engine produces plenty of activity but not enough of the </w:t>
      </w:r>
      <w:r>
        <w:rPr>
          <w:rFonts w:ascii="Arial" w:cs="Arial" w:eastAsia="Arial" w:hAnsi="Arial"/>
          <w:i/>
          <w:iCs/>
        </w:rPr>
        <w:t xml:space="preserve">right</w:t>
      </w:r>
      <w:r>
        <w:rPr>
          <w:rFonts w:ascii="Arial" w:cs="Arial" w:eastAsia="Arial" w:hAnsi="Arial"/>
        </w:rPr>
        <w:t xml:space="preserve"> activity. In June, pre-sales ran 253 demos; only 98 (39%) were genuinely well-qualified, and effectively all revenue traced back to those. Real money is made by developers (80% of June revenue) and by a handful of high-intent channels (Organic, Google) — while a large share of effort goes to sub-scale channel partners, a Facebook channel that converts at 2%, and demos that were never properly qualified. The good news: the levers are specific and measurable.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5496"/>
          <w:sz w:val="18"/>
          <w:szCs w:val="18"/>
        </w:rPr>
        <w:t xml:space="preserve">The seven findings, in priority order: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Quality, not volume, is the whole game. </w:t>
      </w:r>
      <w:r>
        <w:rPr>
          <w:rFonts w:ascii="Arial" w:cs="Arial" w:eastAsia="Arial" w:hAnsi="Arial"/>
        </w:rPr>
        <w:t xml:space="preserve">GREEN demos convert 24.5%; AMBER 1.0%; RED 0%. 24 of 25 June wins were GREEN.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We missed the quality target. </w:t>
      </w:r>
      <w:r>
        <w:rPr>
          <w:rFonts w:ascii="Arial" w:cs="Arial" w:eastAsia="Arial" w:hAnsi="Arial"/>
        </w:rPr>
        <w:t xml:space="preserve">Target was 200+ demos of 5+ licences; we delivered 146. 107 demos (42%) were 1–4 seats and converted at 6.5%.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Revenue is developer-driven. </w:t>
      </w:r>
      <w:r>
        <w:rPr>
          <w:rFonts w:ascii="Arial" w:cs="Arial" w:eastAsia="Arial" w:hAnsi="Arial"/>
        </w:rPr>
        <w:t xml:space="preserve">Developers = 80% of June revenue (₹50.0L of ₹62.4L) and close ~2× faster than channel partners — yet we run more channel-partner demos.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Marketing spend is mis-aimed. </w:t>
      </w:r>
      <w:r>
        <w:rPr>
          <w:rFonts w:ascii="Arial" w:cs="Arial" w:eastAsia="Arial" w:hAnsi="Arial"/>
        </w:rPr>
        <w:t xml:space="preserve">Organic (13.7% win) and Google (9.5%, best size mix) work; Facebook is 19% of demos but 2.1% win — and the single biggest paid cluster, Meta “Lead-Gen Conversion” (~40 demos), maps to that weak Facebook source.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Off-territory developers are a real, ignored market. </w:t>
      </w:r>
      <w:r>
        <w:rPr>
          <w:rFonts w:ascii="Arial" w:cs="Arial" w:eastAsia="Arial" w:hAnsi="Arial"/>
        </w:rPr>
        <w:t xml:space="preserve">Over 6 months, non-rep cities produced ~₹77L (29% of revenue); ~₹50L of that was developers closing remotely (East belt: Kolkata, Ranchi, Bhubaneswar).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Leads are distributed by availability, not strength. </w:t>
      </w:r>
      <w:r>
        <w:rPr>
          <w:rFonts w:ascii="Arial" w:cs="Arial" w:eastAsia="Arial" w:hAnsi="Arial"/>
        </w:rPr>
        <w:t xml:space="preserve">Revati converts developers 24% (Ashwini 3.7%); Ashwini converts channel partners 11.7% (Revati 4.8%). Routing ignores this.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A third of the “qualified” open book shouldn’t be there. </w:t>
      </w:r>
      <w:r>
        <w:rPr>
          <w:rFonts w:ascii="Arial" w:cs="Arial" w:eastAsia="Arial" w:hAnsi="Arial"/>
        </w:rPr>
        <w:t xml:space="preserve">Of 150 workable open deals, only 32 are truly HOT/WARM; 27 need re-qualification, 24 are stalling on the rep, 23 are dead.</w:t>
      </w:r>
    </w:p>
    <w:p>
      <w:pPr>
        <w:spacing w:before="120"/>
      </w:pP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5496"/>
          <w:sz w:val="18"/>
          <w:szCs w:val="18"/>
        </w:rPr>
        <w:t xml:space="preserve">Headline scoreboard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560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June demos conducted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253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Activity was high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Well-qualified (GREEN)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 (39%)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Where ~all revenue comes from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Demos of 5+ licences vs target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0006"/>
                <w:sz w:val="18"/>
                <w:szCs w:val="18"/>
              </w:rPr>
              <w:t xml:space="preserve">146 vs 200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Quality target missed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June revenue (billed / collected)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₹62.4L / ₹45.4L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 closures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Developer share of June revenue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80%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₹50.0L of ₹62.4L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6-month revenue (208 closures)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₹2.67 Cr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Jan–Jun 2026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Off-territory revenue (6-mo)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~₹77L (29%)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Developer-led, no local rep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Onsite demos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33 of 253 (13%)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Off-model; onsite wins 15.2% vs 9.1%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 pipeline worth working now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 of 150 (HOT+WARM)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~₹9.8L ACV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Source: Kylas: cfMeetingConductedOn Jun 2026 (n=253); closures pipeline 5313 stage 35813 (n=42 June, 208 six-month); analytics_v2.json; closures_analytics.json.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2. Demand quality — the 253 June demos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2.1 What GREEN, AMBER and RED mean</w:t>
      </w:r>
    </w:p>
    <w:p>
      <w:pPr>
        <w:spacing w:after="120"/>
      </w:pPr>
      <w:r>
        <w:rPr>
          <w:rFonts w:ascii="Arial" w:cs="Arial" w:eastAsia="Arial" w:hAnsi="Arial"/>
        </w:rPr>
        <w:t xml:space="preserve">Every demo was graded on </w:t>
      </w:r>
      <w:r>
        <w:rPr>
          <w:rFonts w:ascii="Arial" w:cs="Arial" w:eastAsia="Arial" w:hAnsi="Arial"/>
          <w:b/>
          <w:bCs/>
        </w:rPr>
        <w:t xml:space="preserve">how well pre-sales qualified it</w:t>
      </w:r>
      <w:r>
        <w:rPr>
          <w:rFonts w:ascii="Arial" w:cs="Arial" w:eastAsia="Arial" w:hAnsi="Arial"/>
        </w:rPr>
        <w:t xml:space="preserve"> — not on whether Sales later closed it. A demo is scored by reading the deal’s structured fields AND the free-text notes against a fixed rubric covering five things: (1) is the contact a real, named decision-maker; (2) is it a real company with a genuine CRM need; (3) is the size adequate (5+ seats); (4) is the key information captured (BANT, city, current tool); and (5) is the data clean (no junk/placeholder name or dummy phone). The verdict is the analyst’s read on data quality — the picture a sales rep gets before the demo.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4610"/>
        <w:gridCol w:w="3600"/>
      </w:tblGrid>
      <w:tr>
        <w:trPr>
          <w:tblHeader/>
        </w:trP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4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 for a demo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signals we saw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GREEN</w:t>
            </w:r>
          </w:p>
        </w:tc>
        <w:tc>
          <w:tcPr>
            <w:tcW w:type="dxa" w:w="4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Genuinely qualified. A real, named decision-maker at a real company, a clear CRM need, 5+ seats, and the key facts captured. Good pre-sales work — even if Sales later loses it.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Owner/MD engaged; verified company; ~5–40+ seats; budget/timeline noted. E.g. M3M (100 seats), Doff Estates (25).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C6500"/>
                <w:sz w:val="18"/>
                <w:szCs w:val="18"/>
              </w:rPr>
              <w:t xml:space="preserve">AMBER</w:t>
            </w:r>
          </w:p>
        </w:tc>
        <w:tc>
          <w:tcPr>
            <w:tcW w:type="dxa" w:w="4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real demo but with qualification gaps. Thin/partial BANT, small size, a junior or unconfirmed contact (not the decision-maker), or missing information. On-ICP, but the rep must confirm things before it can close.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Manager (not owner) attended; ~3–5 seats; price discussed but no budget/timeline; contact identity not fully verified.</w:t>
            </w:r>
          </w:p>
        </w:tc>
      </w:tr>
      <w:tr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RED</w:t>
            </w:r>
          </w:p>
        </w:tc>
        <w:tc>
          <w:tcPr>
            <w:tcW w:type="dxa" w:w="4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Poor pre-sales work — should not have been booked. Junk/placeholder contact, no real need, wrong ICP (a 1-seat individual or tiny broker with no intent), or a “demo for the number” with no substance.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Placeholder name (“T Rex”) or dummy phone (+91 9999999999); 1–2 seats; not actually looking; enrichment resolves to a different/unrelated person.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</w:rPr>
        <w:t xml:space="preserve">Why this matters: </w:t>
      </w:r>
      <w:r>
        <w:rPr>
          <w:rFonts w:ascii="Arial" w:cs="Arial" w:eastAsia="Arial" w:hAnsi="Arial"/>
        </w:rPr>
        <w:t xml:space="preserve">the verdict grades pre-sales only, so it is fair to the team — a GREEN demo that Sales fails to close stays GREEN (the miss is downstream), and a RED demo cannot be rescued by Sales. It also turns out to be an accurate forecast: in §3, GREEN demos convert 24.5% while RED convert 0%.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Source: Audit rubric applied to all 253 deals’ fields + notes (master_dataset.csv). The same rubric is now embedded in the hourly deal-audit skill.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2.2 The distribution</w:t>
      </w:r>
    </w:p>
    <w:p>
      <w:pPr>
        <w:spacing w:after="120"/>
      </w:pPr>
      <w:r>
        <w:rPr>
          <w:rFonts w:ascii="Arial" w:cs="Arial" w:eastAsia="Arial" w:hAnsi="Arial"/>
        </w:rPr>
        <w:t xml:space="preserve">On the stated target — 200+ demos of 5+ user licences — we delivered 146 (58%). First, the quality split: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0"/>
        <w:gridCol w:w="2400"/>
      </w:tblGrid>
      <w:tr>
        <w:trPr>
          <w:tblHeader/>
        </w:trP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Pre-sales quality verdict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Demos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demos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GREEN — genuinely qualified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98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39%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C6500"/>
                <w:sz w:val="18"/>
                <w:szCs w:val="18"/>
              </w:rPr>
              <w:t xml:space="preserve">AMBER — real but thin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98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39%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RED — poor / sub-ICP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22%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Source: Rubric scoring of all 253 deals’ fields + notes (master_dataset.csv). GREEN/AMBER/RED defined in the audit rubric.</w:t>
      </w:r>
    </w:p>
    <w:p>
      <w:pPr>
        <w:spacing w:after="120"/>
      </w:pPr>
      <w:r>
        <w:rPr>
          <w:rFonts w:ascii="Arial" w:cs="Arial" w:eastAsia="Arial" w:hAnsi="Arial"/>
        </w:rPr>
        <w:t xml:space="preserve">The licence-size split shows where the gap is — 42% of demos were sub-5-seat prospects: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400"/>
        <w:gridCol w:w="1200"/>
        <w:gridCol w:w="1700"/>
        <w:gridCol w:w="1700"/>
      </w:tblGrid>
      <w:tr>
        <w:trPr>
          <w:tblHeader/>
        </w:trP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Licence tier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Demos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 rate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GREEN rate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Under 5 seats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6.5%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14%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5–10 seats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116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46%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12.1%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54%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10+ seats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13.3%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67%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Source: cfMeetingConductedOn Jun 2026; noOfLicenses; is_won as of 6 Jul 2026 (n=253). analytics_v2.json winrate_by_tier3.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Read: </w:t>
      </w:r>
      <w:r>
        <w:rPr>
          <w:rFonts w:ascii="Arial" w:cs="Arial" w:eastAsia="Arial" w:hAnsi="Arial"/>
        </w:rPr>
        <w:t xml:space="preserve">42% of demos were sub-5-seat prospects that convert at roughly half the rate and account for most RED verdicts. Volume was partly manufactured by lowering the bar.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3. What actually converts (the strongest evidence in this pack)</w:t>
      </w:r>
    </w:p>
    <w:p>
      <w:pPr>
        <w:spacing w:after="120"/>
      </w:pPr>
      <w:r>
        <w:rPr>
          <w:rFonts w:ascii="Arial" w:cs="Arial" w:eastAsia="Arial" w:hAnsi="Arial"/>
        </w:rPr>
        <w:t xml:space="preserve">Win-rate cut every way the data allows. The signals are unusually clean and they compound — the “ideal” demo is a Strong-BANT developer, 5+ seats, seen in person.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20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Cut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segment (win rate)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Worst segment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Quality verdict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GREEN 24.5%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AMBER 1.0% / RED 0%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BANT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Strong 27.9%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Partial/Weak/None ~0.6%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 type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Developer 13.3%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Channel partner 7.5%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Demo mode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Onsite 15.2%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Online 9.1%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City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Hyderabad/Chennai 24–27%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Pune 0% / NCR 7%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Licence size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10+ seats 13.3%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Under 5 seats 6.5%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Source: analytics_v2.json (win-rate by verdict, bant_flag, dev/broker, onsite, main6 city, tier3), n=253 June demos.</w:t>
      </w:r>
    </w:p>
    <w:p>
      <w:pPr>
        <w:spacing w:after="120"/>
      </w:pPr>
      <w:r>
        <w:rPr>
          <w:rFonts w:ascii="Arial" w:cs="Arial" w:eastAsia="Arial" w:hAnsi="Arial"/>
        </w:rPr>
        <w:t xml:space="preserve">Because GREEN/Strong-BANT predicts revenue almost perfectly, we built a calibrated probability model (top-quintile predicted 36.5% vs 34.0% actual). Its practical use: </w:t>
      </w:r>
      <w:r>
        <w:rPr>
          <w:rFonts w:ascii="Arial" w:cs="Arial" w:eastAsia="Arial" w:hAnsi="Arial"/>
          <w:b/>
          <w:bCs/>
        </w:rPr>
        <w:t xml:space="preserve">the 98 demos scoring ≥5% probability captured 96% of all wins — the other 155 demos produced one win between them.</w:t>
      </w:r>
      <w:r>
        <w:rPr>
          <w:rFonts w:ascii="Arial" w:cs="Arial" w:eastAsia="Arial" w:hAnsi="Arial"/>
        </w:rPr>
        <w:t xml:space="preserve"> The model is now wired into the hourly deal-audit skill so every deal gets a HOT/WARM/MID/COLD band.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Source: model_weights.json + score_deal.py; calibration on n=253. Threshold table in Presales_June_PostMortem.xlsx → Convert Model.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4. Revenue reality — closures, not demos</w:t>
      </w:r>
    </w:p>
    <w:p>
      <w:pPr>
        <w:spacing w:after="120"/>
      </w:pPr>
      <w:r>
        <w:rPr>
          <w:rFonts w:ascii="Arial" w:cs="Arial" w:eastAsia="Arial" w:hAnsi="Arial"/>
        </w:rPr>
        <w:t xml:space="preserve">Revenue must be read on </w:t>
      </w:r>
      <w:r>
        <w:rPr>
          <w:rFonts w:ascii="Arial" w:cs="Arial" w:eastAsia="Arial" w:hAnsi="Arial"/>
          <w:i/>
          <w:iCs/>
        </w:rPr>
        <w:t xml:space="preserve">deals that closed</w:t>
      </w:r>
      <w:r>
        <w:rPr>
          <w:rFonts w:ascii="Arial" w:cs="Arial" w:eastAsia="Arial" w:hAnsi="Arial"/>
        </w:rPr>
        <w:t xml:space="preserve">, not demos that happened. June closures (42 deals) totalled </w:t>
      </w:r>
      <w:r>
        <w:rPr>
          <w:rFonts w:ascii="Arial" w:cs="Arial" w:eastAsia="Arial" w:hAnsi="Arial"/>
          <w:b/>
          <w:bCs/>
        </w:rPr>
        <w:t xml:space="preserve">₹62.4L billed / ₹45.4L collected</w:t>
      </w:r>
      <w:r>
        <w:rPr>
          <w:rFonts w:ascii="Arial" w:cs="Arial" w:eastAsia="Arial" w:hAnsi="Arial"/>
        </w:rPr>
        <w:t xml:space="preserve"> — more than double the ₹29.4L attributable to June-demo wins, because large developer deals demoed months earlier close in June (e.g. Kaustubh/Gurgaon ₹8.2L, 30 seats, demoed April).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200"/>
        <w:gridCol w:w="2400"/>
        <w:gridCol w:w="1800"/>
      </w:tblGrid>
      <w:tr>
        <w:trPr>
          <w:tblHeader/>
        </w:trPr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June closures by account type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Deals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demo→close</w:t>
            </w:r>
          </w:p>
        </w:tc>
      </w:tr>
      <w:tr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Developer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₹50.0L (80%)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~28 days</w:t>
            </w:r>
          </w:p>
        </w:tc>
      </w:tr>
      <w:tr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Channel partner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₹12.4L (20%)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~49 days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Source: Closures pipeline 5313 stage 35813, actualClosureDate Jun 2026 (n=42). closures_analytics.json. Velocity estimated from won-stage timestamp (exact close date not exposed by the connector).</w:t>
      </w:r>
    </w:p>
    <w:p>
      <w:pPr>
        <w:spacing w:after="120"/>
      </w:pPr>
      <w:r>
        <w:rPr>
          <w:rFonts w:ascii="Arial" w:cs="Arial" w:eastAsia="Arial" w:hAnsi="Arial"/>
        </w:rPr>
        <w:t xml:space="preserve">Over the last six months, pre-sales closed </w:t>
      </w:r>
      <w:r>
        <w:rPr>
          <w:rFonts w:ascii="Arial" w:cs="Arial" w:eastAsia="Arial" w:hAnsi="Arial"/>
          <w:b/>
          <w:bCs/>
        </w:rPr>
        <w:t xml:space="preserve">₹2.67 Cr across 208 deals</w:t>
      </w:r>
      <w:r>
        <w:rPr>
          <w:rFonts w:ascii="Arial" w:cs="Arial" w:eastAsia="Arial" w:hAnsi="Arial"/>
        </w:rPr>
        <w:t xml:space="preserve">. Developers dominate both revenue and speed; the takeaway for both teams is that developer, 5+-seat accounts are where the money is — and they are under-fed at the top of the funnel.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5. Top of funnel — where leads come from and what converts</w:t>
      </w:r>
    </w:p>
    <w:p>
      <w:pPr>
        <w:spacing w:after="120"/>
      </w:pPr>
      <w:r>
        <w:rPr>
          <w:rFonts w:ascii="Arial" w:cs="Arial" w:eastAsia="Arial" w:hAnsi="Arial"/>
        </w:rPr>
        <w:t xml:space="preserve">Lead source is captured on all 253 demos; UTM campaign / sub-source is captured on the paid ones (~43% of demos — Organic and WhatsApp correctly carry none). Channel ROI is stark: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1500"/>
        <w:gridCol w:w="900"/>
        <w:gridCol w:w="1200"/>
        <w:gridCol w:w="30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Demos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5+ seats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 rate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Organic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58%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13.7%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Champion — highest volume &amp; yield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Google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66%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9.5%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Best size mix; reliable paid lever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51%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2.1%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19% of demos, 4% of wins — broken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WhatsApp (Interakt)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43%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9.4%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Decent inbound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Instagram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33%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Negligible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Source: Kylas source field, per-source counts via search API (cfMeetingConductedOn Jun 2026, Pre-sales team). closures_analytics.json source_funnel.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Read: </w:t>
      </w:r>
      <w:r>
        <w:rPr>
          <w:rFonts w:ascii="Arial" w:cs="Arial" w:eastAsia="Arial" w:hAnsi="Arial"/>
        </w:rPr>
        <w:t xml:space="preserve">Facebook is burning ~1 in 5 demos for ~1 in 25 wins. Organic (SEO/brand/referral) is the cheapest, highest-intent source; Google is the best paid channel and brings the best size mix.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5.1 Which paid campaigns (UTM / sub-source)</w:t>
      </w:r>
    </w:p>
    <w:p>
      <w:pPr>
        <w:spacing w:after="120"/>
      </w:pPr>
      <w:r>
        <w:rPr>
          <w:rFonts w:ascii="Arial" w:cs="Arial" w:eastAsia="Arial" w:hAnsi="Arial"/>
        </w:rPr>
        <w:t xml:space="preserve">Contrary to a common assumption, the paid demos </w:t>
      </w:r>
      <w:r>
        <w:rPr>
          <w:rFonts w:ascii="Arial" w:cs="Arial" w:eastAsia="Arial" w:hAnsi="Arial"/>
          <w:i/>
          <w:iCs/>
        </w:rPr>
        <w:t xml:space="preserve">are</w:t>
      </w:r>
      <w:r>
        <w:rPr>
          <w:rFonts w:ascii="Arial" w:cs="Arial" w:eastAsia="Arial" w:hAnsi="Arial"/>
        </w:rPr>
        <w:t xml:space="preserve"> attributed — utmCampaign and subSource carry the campaign on the Google/Facebook leads (Organic simply has none). The paid demos concentrate in a few named campaigns: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600"/>
        <w:gridCol w:w="2200"/>
      </w:tblGrid>
      <w:tr>
        <w:trPr>
          <w:tblHeader/>
        </w:trP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Campaign cluster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June demos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Meta “Lead-Gen Conversion” (Apr-2024 + Jun-2025)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Facebook / Meta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~40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Search (search-jan24, -south, ai-calling)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~32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Google Brand Search (+ -south)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~23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Performance Max (traffic / retarget / competitor)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~4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YouTube retarget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UTM — Organic / WhatsApp / direct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Source: Kylas report 361026 re-grouped by UTM Campaign and Sub Source, Last Month (created-in-June basis, n=237). Sub Source mirrors UTM Campaign.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Read: </w:t>
      </w:r>
      <w:r>
        <w:rPr>
          <w:rFonts w:ascii="Arial" w:cs="Arial" w:eastAsia="Arial" w:hAnsi="Arial"/>
        </w:rPr>
        <w:t xml:space="preserve">the biggest single paid cluster — Meta “Lead-Gen Conversion” (~40 demos) — is exactly the Facebook source that converts at 2.1%; the Google Search and (especially) Brand-Search campaigns are the better converters. So the paid re-allocation is concrete: move budget from the Meta lead-gen forms toward Google Brand/Search. Two data issues to fix: one live ad passes a broken “{{campaign.name}}” UTM, and several campaign names are stale (2024-dated campaigns still tagging 2026 leads), which blurs fresh-spend attribution.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6. Geography — rep cities vs off-territory</w:t>
      </w:r>
    </w:p>
    <w:p>
      <w:pPr>
        <w:spacing w:after="120"/>
      </w:pPr>
      <w:r>
        <w:rPr>
          <w:rFonts w:ascii="Arial" w:cs="Arial" w:eastAsia="Arial" w:hAnsi="Arial"/>
        </w:rPr>
        <w:t xml:space="preserve">We have reps in six cities (Pune, Mumbai, Delhi/NCR, Bangalore, Chennai, Hyderabad). They convert ~2× better on average, and Hyderabad/Chennai are the best closers — but they are </w:t>
      </w:r>
      <w:r>
        <w:rPr>
          <w:rFonts w:ascii="Arial" w:cs="Arial" w:eastAsia="Arial" w:hAnsi="Arial"/>
          <w:i/>
          <w:iCs/>
        </w:rPr>
        <w:t xml:space="preserve">starved</w:t>
      </w:r>
      <w:r>
        <w:rPr>
          <w:rFonts w:ascii="Arial" w:cs="Arial" w:eastAsia="Arial" w:hAnsi="Arial"/>
        </w:rPr>
        <w:t xml:space="preserve"> of demos, while Pune (HQ) converted 0% in June. Over six months, non-rep cities still produced ~₹77L (29% of revenue), and that is developer-led: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600"/>
        <w:gridCol w:w="3200"/>
      </w:tblGrid>
      <w:tr>
        <w:trPr>
          <w:tblHeader/>
        </w:trP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Off-territory (6-month closures)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Deals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non-rep cities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~₹77L (29% of total)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of which Developers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38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~₹50L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 of which Channel partners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~₹27L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Source: closures6m/ (n=208 fetched of 216); city normalised from cfCity. Off-territory = cities outside the six rep cities.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Standout off-territory developer markets (6-month, by developer revenue): </w:t>
      </w:r>
      <w:r>
        <w:rPr>
          <w:rFonts w:ascii="Arial" w:cs="Arial" w:eastAsia="Arial" w:hAnsi="Arial"/>
        </w:rPr>
        <w:t xml:space="preserve">Kolkata (~₹9.5L; Amina/Doff 25 seats ₹4.44L), Jaipur (₹3.9L), Ranchi (₹3.5L; Kavita 25 seats), Bhubaneswar (₹4.3L; 15 seats), Coimbatore, Calicut (a 40-seat developer, ₹2.66L). These are real mid-market builders closing remotely with no local rep — an East-India developer belt in particular.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Nuance both teams must hold: </w:t>
      </w:r>
      <w:r>
        <w:rPr>
          <w:rFonts w:ascii="Arial" w:cs="Arial" w:eastAsia="Arial" w:hAnsi="Arial"/>
        </w:rPr>
        <w:t xml:space="preserve">for developers, territory barely matters (they close remotely); for brokers/channel partners it does (they need onsite hand-holding). So concentrate the </w:t>
      </w:r>
      <w:r>
        <w:rPr>
          <w:rFonts w:ascii="Arial" w:cs="Arial" w:eastAsia="Arial" w:hAnsi="Arial"/>
          <w:i/>
          <w:iCs/>
        </w:rPr>
        <w:t xml:space="preserve">broker</w:t>
      </w:r>
      <w:r>
        <w:rPr>
          <w:rFonts w:ascii="Arial" w:cs="Arial" w:eastAsia="Arial" w:hAnsi="Arial"/>
        </w:rPr>
        <w:t xml:space="preserve"> motion in rep cities, and run </w:t>
      </w:r>
      <w:r>
        <w:rPr>
          <w:rFonts w:ascii="Arial" w:cs="Arial" w:eastAsia="Arial" w:hAnsi="Arial"/>
          <w:i/>
          <w:iCs/>
        </w:rPr>
        <w:t xml:space="preserve">developer</w:t>
      </w:r>
      <w:r>
        <w:rPr>
          <w:rFonts w:ascii="Arial" w:cs="Arial" w:eastAsia="Arial" w:hAnsi="Arial"/>
        </w:rPr>
        <w:t xml:space="preserve"> demand-gen nationally.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7. Lead distribution &amp; rep performance</w:t>
      </w:r>
    </w:p>
    <w:p>
      <w:pPr>
        <w:spacing w:after="120"/>
      </w:pPr>
      <w:r>
        <w:rPr>
          <w:rFonts w:ascii="Arial" w:cs="Arial" w:eastAsia="Arial" w:hAnsi="Arial"/>
        </w:rPr>
        <w:t xml:space="preserve">Leads appear to be distributed by availability, not by rep strength — and the two reps have opposite strengths, so the current routing leaves conversion on the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2760"/>
        <w:gridCol w:w="1800"/>
        <w:gridCol w:w="100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Demos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Developer / CP mix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10+ seat deals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Overall win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Revati Ambike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135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37% / 62%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11.9%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Ashwini Nirmal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114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47% / 53%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7.9%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</w:rPr>
        <w:t xml:space="preserve">The crossover (the key point):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2900"/>
        <w:gridCol w:w="2900"/>
      </w:tblGrid>
      <w:tr>
        <w:trPr>
          <w:tblHeader/>
        </w:trPr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 rate by segment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Developers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Channel partners</w:t>
            </w:r>
          </w:p>
        </w:tc>
      </w:tr>
      <w:tr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Revati Ambike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24.0%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4.8%</w:t>
            </w:r>
          </w:p>
        </w:tc>
      </w:tr>
      <w:tr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Ashwini Nirmal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3.7%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11.7%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Source: master_dataset.csv, creator × dev/broker × is_won (n=249 for the two reps). Source routing checked via per-source × creator counts — roughly proportional to volume, i.e. no strength-based routing.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Read: </w:t>
      </w:r>
      <w:r>
        <w:rPr>
          <w:rFonts w:ascii="Arial" w:cs="Arial" w:eastAsia="Arial" w:hAnsi="Arial"/>
        </w:rPr>
        <w:t xml:space="preserve">Revati is the developer closer (6× Ashwini on developers) and already handles almost all large deals; Ashwini is the channel-partner closer (2.4× Revati). Yet developers — 80% of revenue — are split ~50/50. Routing developers → Revati and channel partners → Ashwini should lift both segments. (June deals are still maturing, so absolute rates will rise; the relative pattern is the signal, strongest for Revati-on-developers with 12 wins.)</w:t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8. Open pipeline health &amp; triage</w:t>
      </w:r>
    </w:p>
    <w:p>
      <w:pPr>
        <w:spacing w:after="120"/>
      </w:pPr>
      <w:r>
        <w:rPr>
          <w:rFonts w:ascii="Arial" w:cs="Arial" w:eastAsia="Arial" w:hAnsi="Arial"/>
        </w:rPr>
        <w:t xml:space="preserve">Of 480 open pre-sales deals, 150 are genuinely workable (demo done, 5+ seats, active since mid-May). Scoring each on probability + a keep/churn call shows the open book is much thinner than it looks: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000"/>
        <w:gridCol w:w="600"/>
        <w:gridCol w:w="3560"/>
        <w:gridCol w:w="1200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Conversion band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Deals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Churn call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Deals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HOT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KEEP (current sales)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C6500"/>
                <w:sz w:val="18"/>
                <w:szCs w:val="18"/>
              </w:rPr>
              <w:t xml:space="preserve">WARM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REASSIGN → new sales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 → pre-sales (re-qualify)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DISQUALIFY (close-lost)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Source: open_pipeline_focus.csv (n=150). Probability from the model; churn call from stage + notes + idle-days.</w:t>
      </w:r>
    </w:p>
    <w:p>
      <w:pPr>
        <w:spacing w:after="120"/>
      </w:pPr>
      <w:r>
        <w:rPr>
          <w:rFonts w:ascii="Arial" w:cs="Arial" w:eastAsia="Arial" w:hAnsi="Arial"/>
        </w:rPr>
        <w:t xml:space="preserve">Only 32 deals (HOT+WARM, ~₹9.8L ACV) are worth chasing this week. Critically, ~1 in 3 of the “qualified” book (27 re-qualify + 23 disqualify) should never have reached sales as live pipeline — the dominant cause is a wrong/junior/unverified contact, a pre-sales qualification miss the audit already flags. A further 24 are real deals decaying on rep follow-up. Per-deal next actions and owners are in the accompanying workbook.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Source: Open_Pipeline_Focus.xlsx (WORK NOW, Reassign, Back-to-Pre-Sales, Disqualify sheets).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9. Systemic issues (fix once, benefit everywhere)</w:t>
      </w:r>
    </w:p>
    <w:p>
      <w:pPr>
        <w:spacing w:after="120"/>
      </w:pPr>
      <w:r>
        <w:rPr>
          <w:rFonts w:ascii="Arial" w:cs="Arial" w:eastAsia="Arial" w:hAnsi="Arial"/>
        </w:rPr>
        <w:t xml:space="preserve">Why deals don’t move — the largest fixable cause sits upstream with qualification and data quality, not closing: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</w:rPr>
        <w:t xml:space="preserve">Root-cause of stalls: </w:t>
      </w:r>
      <w:r>
        <w:rPr>
          <w:rFonts w:ascii="Arial" w:cs="Arial" w:eastAsia="Arial" w:hAnsi="Arial"/>
        </w:rPr>
        <w:t xml:space="preserve">Quality/ICP (60) and BANT-weak (18) together ≈ 31% of demos never had a chance; 63 stalls are pre-sales-owned vs 43 sales-owned. (Source: analytics_v2.json blocker + blocker_owner, n=253.)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</w:rPr>
        <w:t xml:space="preserve">Contact integrity: </w:t>
      </w:r>
      <w:r>
        <w:rPr>
          <w:rFonts w:ascii="Arial" w:cs="Arial" w:eastAsia="Arial" w:hAnsi="Arial"/>
        </w:rPr>
        <w:t xml:space="preserve">27 of 253 demos (11%) carried junk/placeholder names, and the dummy phone +919999999999 recurs; enrichment repeatedly resolves the deal phone to a different person. These pass into sales as “qualified.”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</w:rPr>
        <w:t xml:space="preserve">Attribution mostly works — two small gaps to close: </w:t>
      </w:r>
      <w:r>
        <w:rPr>
          <w:rFonts w:ascii="Arial" w:cs="Arial" w:eastAsia="Arial" w:hAnsi="Arial"/>
        </w:rPr>
        <w:t xml:space="preserve">paid demos DO carry utmCampaign / subSource (~43% of demos; Organic correctly has none), so channel and campaign are measurable. The gaps are (a) one live ad passing a broken “{{campaign.name}}” UTM, and (b) stale campaign names (Apr-2024 / Jan-2024 campaigns still tagging Jun-2026 leads), which blur fresh-spend attribution. Note: the picklist ‘campaign’ field is unused — attribution lives in the UTM/sub-source fields, not there.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</w:rPr>
        <w:t xml:space="preserve">City field is messy: </w:t>
      </w:r>
      <w:r>
        <w:rPr>
          <w:rFonts w:ascii="Arial" w:cs="Arial" w:eastAsia="Arial" w:hAnsi="Arial"/>
        </w:rPr>
        <w:t xml:space="preserve">cfCity contains misspellings (Banagalore, Guregaon, Ahemdabad) and states entered as cities (“Tamil Naidu”, “Andhra Pradesh”, “Odisha”), which corrupts any territory/routing logic. Switch to a validated dropdown.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10. Prioritised action plan</w:t>
      </w:r>
    </w:p>
    <w:p>
      <w:pPr>
        <w:spacing w:after="120"/>
      </w:pPr>
      <w:r>
        <w:rPr>
          <w:rFonts w:ascii="Arial" w:cs="Arial" w:eastAsia="Arial" w:hAnsi="Arial"/>
        </w:rPr>
        <w:t xml:space="preserve">Owner key: M = Marketing, PS = Pre-Sales, S = Sales (shared manager to sequence). Each action lists the metric that proves it worked.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P0 — do this month (highest leverage)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</w:rPr>
        <w:t xml:space="preserve">[PS] Gate every demo before it is booked. </w:t>
      </w:r>
      <w:r>
        <w:rPr>
          <w:rFonts w:ascii="Arial" w:cs="Arial" w:eastAsia="Arial" w:hAnsi="Arial"/>
        </w:rPr>
        <w:t xml:space="preserve">Require verified company + real phone (auto-reject 9999999999 / single-word names), a named decision-maker, BANT ≥ Partial, and 5+ seats. Run deal-audit before the demo. Metric: RED demos &lt;10%; junk-name demos ~0.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</w:rPr>
        <w:t xml:space="preserve">[M] Re-aim ad spend to what converts. </w:t>
      </w:r>
      <w:r>
        <w:rPr>
          <w:rFonts w:ascii="Arial" w:cs="Arial" w:eastAsia="Arial" w:hAnsi="Arial"/>
        </w:rPr>
        <w:t xml:space="preserve">Scale Google, invest in Organic (SEO/brand/content); fix Facebook targeting to developer/large-account lookalikes or move its budget to Google; drop Instagram. Metric: blended demo→win ≥ 12%; Facebook win-rate ≥ 8% or spend reallocated.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</w:rPr>
        <w:t xml:space="preserve">[M+PS] Bias the whole funnel to developers &amp; 5+ seats. </w:t>
      </w:r>
      <w:r>
        <w:rPr>
          <w:rFonts w:ascii="Arial" w:cs="Arial" w:eastAsia="Arial" w:hAnsi="Arial"/>
        </w:rPr>
        <w:t xml:space="preserve">Developers are 80% of revenue. Set a developer-share floor (≥50% of demos) and a 5-seat minimum. Metric: 5+ seat demos ≥ 200/month; developer share ≥ 50%.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</w:rPr>
        <w:t xml:space="preserve">[PS/S] Route by strength. </w:t>
      </w:r>
      <w:r>
        <w:rPr>
          <w:rFonts w:ascii="Arial" w:cs="Arial" w:eastAsia="Arial" w:hAnsi="Arial"/>
        </w:rPr>
        <w:t xml:space="preserve">Send developer leads to Revati, channel-partner leads to Ashwini. Metric: developer win-rate on the developer-closer maintained ≥20%.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P1 — next 30–60 days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</w:rPr>
        <w:t xml:space="preserve">[M] Run a remote developer desk for tier-2 / off-territory. </w:t>
      </w:r>
      <w:r>
        <w:rPr>
          <w:rFonts w:ascii="Arial" w:cs="Arial" w:eastAsia="Arial" w:hAnsi="Arial"/>
        </w:rPr>
        <w:t xml:space="preserve">Prioritise the East belt (Kolkata, Ranchi, Bhubaneswar, Siliguri), Gujarat and tier-2 South. Metric: off-territory developer revenue ≥ current ₹50L/6-mo run-rate, tracked monthly.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</w:rPr>
        <w:t xml:space="preserve">[M] Tighten attribution and act on it. </w:t>
      </w:r>
      <w:r>
        <w:rPr>
          <w:rFonts w:ascii="Arial" w:cs="Arial" w:eastAsia="Arial" w:hAnsi="Arial"/>
        </w:rPr>
        <w:t xml:space="preserve">Fix the broken “{{campaign.name}}” UTM and refresh stale campaign names so fresh spend is readable; then reallocate from the Meta “Lead-Gen Conversion” cluster (biggest paid volume, weakest conversion) toward Google Brand/Search. Metric: 100% of paid deals carry a clean campaign; Meta lead-gen win-rate ≥8% or budget moved.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</w:rPr>
        <w:t xml:space="preserve">[PS] Concentrate the broker motion in rep cities &amp; fix Pune. </w:t>
      </w:r>
      <w:r>
        <w:rPr>
          <w:rFonts w:ascii="Arial" w:cs="Arial" w:eastAsia="Arial" w:hAnsi="Arial"/>
        </w:rPr>
        <w:t xml:space="preserve">Push demand into Hyderabad/Chennai (best closers); root-cause Pune (0% in June). Metric: Hyderabad+Chennai demo volume up; Pune win-rate &gt;0%.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</w:rPr>
        <w:t xml:space="preserve">[S] Sales-hygiene SLA + auto-reassign. </w:t>
      </w:r>
      <w:r>
        <w:rPr>
          <w:rFonts w:ascii="Arial" w:cs="Arial" w:eastAsia="Arial" w:hAnsi="Arial"/>
        </w:rPr>
        <w:t xml:space="preserve">Any HOT/WARM deal idle &gt;21 days escalates/reassigns. Metric: recover the ~₹4.5L currently stalled on reps; median idle on HOT/WARM &lt;14 days.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P2 — structural / ongoing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</w:rPr>
        <w:t xml:space="preserve">[M] Force onsite for HOT deals in rep cities, </w:t>
      </w:r>
      <w:r>
        <w:rPr>
          <w:rFonts w:ascii="Arial" w:cs="Arial" w:eastAsia="Arial" w:hAnsi="Arial"/>
        </w:rPr>
        <w:t xml:space="preserve">especially Hyderabad/Chennai/NCR where onsite is &lt;15% today (onsite ≈ 3× revenue per demo). Metric: ≥40% of Main-6 demos in person.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</w:rPr>
        <w:t xml:space="preserve">[PS] Grow Organic with competitor-comparison content </w:t>
      </w:r>
      <w:r>
        <w:rPr>
          <w:rFonts w:ascii="Arial" w:cs="Arial" w:eastAsia="Arial" w:hAnsi="Arial"/>
        </w:rPr>
        <w:t xml:space="preserve">(vs Zoho, Leadrat, Buildesk, Kit19) and developer case studies. Metric: Organic demo volume and win-rate trend up.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</w:rPr>
        <w:t xml:space="preserve">[M/PS] Stand up a named-account enterprise lane </w:t>
      </w:r>
      <w:r>
        <w:rPr>
          <w:rFonts w:ascii="Arial" w:cs="Arial" w:eastAsia="Arial" w:hAnsi="Arial"/>
        </w:rPr>
        <w:t xml:space="preserve">(40+ seat developers, CXO multi-threading). Metric: ≥15 enterprise (40+) demos/month vs ~5.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</w:rPr>
        <w:t xml:space="preserve">[Ops] Clean the data. </w:t>
      </w:r>
      <w:r>
        <w:rPr>
          <w:rFonts w:ascii="Arial" w:cs="Arial" w:eastAsia="Arial" w:hAnsi="Arial"/>
        </w:rPr>
        <w:t xml:space="preserve">Validated cfCity dropdown; keep the conversion model re-fitted monthly (it’s already in the deal-audit CRON). Metric: zero states-as-cities; band stamped on every new deal.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Appendix — data sources &amp; artifacts</w:t>
      </w:r>
    </w:p>
    <w:p>
      <w:pPr>
        <w:spacing w:after="120"/>
      </w:pPr>
      <w:r>
        <w:rPr>
          <w:rFonts w:ascii="Arial" w:cs="Arial" w:eastAsia="Arial" w:hAnsi="Arial"/>
        </w:rPr>
        <w:t xml:space="preserve">Every figure in this report is reproducible from these, all stored in the presales_june_analysis folder: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master_dataset.csv — 253 June demos, per-deal fields + verdict + BANT + probability.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closures_dataset.csv / closures_analytics.json — 42 June closures (revenue, velocity, source funnel).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closures6m/ — 208 of 216 six-month closures (city, type, billed) for the geography analysis.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open_pipeline_focus.csv + Open_Pipeline_Focus.xlsx — 150 open deals: probability, next action, churn call.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Presales_June_PostMortem.xlsx — 14 sheets: What Converts, City Deep-Dive, Marketing Source, Convert Model, Revenue (Closures), etc.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model_weights.json + score_deal.py — the conversion model, now embedded in the deal-audit skill.</w:t>
      </w:r>
    </w:p>
    <w:p>
      <w:pPr>
        <w:spacing w:after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Reproduce the counts in Kylas: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Pre-sales team = report 361026 filter; demos = cfMeetingConductedOn in period; closures = pipeline 5313 / stage 35813 / actualClosureDate in period; open = forecastingType OPEN + pipeline 5313.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Marketing &amp; Pre-Sales Audit · Sell.Do · Confidential — Internal ·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2026-07-07T06:58:39.737Z</dcterms:created>
  <dcterms:modified xsi:type="dcterms:W3CDTF">2026-07-07T06:58:39.741Z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