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2"/>
          <w:szCs w:val="32"/>
        </w:rPr>
        <w:t xml:space="preserve">Smart Village Dashboard: A Web-Based Decision Support System</w:t>
      </w:r>
    </w:p>
    <w:p>
      <w:pPr>
        <w:spacing w:after="40" w:before="80"/>
        <w:jc w:val="center"/>
      </w:pPr>
      <w:r>
        <w:rPr>
          <w:rFonts w:ascii="Times New Roman" w:cs="Times New Roman" w:eastAsia="Times New Roman" w:hAnsi="Times New Roman"/>
          <w:b/>
          <w:bCs/>
          <w:i w:val="false"/>
          <w:iCs w:val="false"/>
          <w:sz w:val="22"/>
          <w:szCs w:val="22"/>
        </w:rPr>
        <w:t xml:space="preserve">Authors' Name(s)</w:t>
      </w:r>
    </w:p>
    <w:p>
      <w:pPr>
        <w:spacing w:after="40" w:before="0"/>
        <w:jc w:val="center"/>
      </w:pPr>
      <w:r>
        <w:rPr>
          <w:rFonts w:ascii="Times New Roman" w:cs="Times New Roman" w:eastAsia="Times New Roman" w:hAnsi="Times New Roman"/>
          <w:i/>
          <w:iCs/>
          <w:sz w:val="20"/>
          <w:szCs w:val="20"/>
        </w:rPr>
        <w:t xml:space="preserve">Department of Computer Science and Engineering</w:t>
      </w:r>
    </w:p>
    <w:p>
      <w:pPr>
        <w:spacing w:after="40" w:before="0"/>
        <w:jc w:val="center"/>
      </w:pPr>
      <w:r>
        <w:rPr>
          <w:rFonts w:ascii="Times New Roman" w:cs="Times New Roman" w:eastAsia="Times New Roman" w:hAnsi="Times New Roman"/>
          <w:i/>
          <w:iCs/>
          <w:sz w:val="20"/>
          <w:szCs w:val="20"/>
        </w:rPr>
        <w:t xml:space="preserve">Institution / University Name, City, Country</w:t>
      </w:r>
    </w:p>
    <w:p>
      <w:pPr>
        <w:spacing w:after="120" w:before="0"/>
        <w:jc w:val="center"/>
      </w:pPr>
      <w:r>
        <w:rPr>
          <w:rFonts w:ascii="Times New Roman" w:cs="Times New Roman" w:eastAsia="Times New Roman" w:hAnsi="Times New Roman"/>
          <w:i/>
          <w:iCs/>
          <w:sz w:val="20"/>
          <w:szCs w:val="20"/>
        </w:rPr>
        <w:t xml:space="preserve">email@institution.edu</w:t>
      </w:r>
    </w:p>
    <w:p>
      <w:pPr>
        <w:spacing w:after="6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—Governance at the grassroots level has long suffered from fragmented data, limited transparency, and a shortage of tools that translate raw statistics into actionable intelligence for policymakers and community leaders alike. This paper presents the Smart Village Dashboard, a responsive, browser-based decision support system built with Angular 18 that consolidates multi-domain village metrics—employment, water availability, and literacy—into a unified, interactive interface. The system features four thematic modules (Agriculture, Health, Education, and Water Resources), an interactive Leaflet.js map with colour-coded health indicators, a rule-based AI insight engine, multilingual support across nine regional languages, light/dark theme switching, and persistent local storage for village records. The architecture relies on Angular reactive programming patterns, Chart.js for dynamic data visualisation, and Bootstrap 5 for responsive layout. Evaluation against comparable systems demonstrates superior usability and considerably lower deployment overhead, as the application requires no backend infrastructure. Experimental data drawn from 128 simulated village records confirm the dashboard&amp;#x2019;s capacity to surface meaningful disparities across clusters and to guide resource allocation decisions. The findings suggest that lightweight, frontend-only civic-tech solutions can deliver measurable governance value in resource-constrained environments.</w:t>
      </w:r>
    </w:p>
    <w:p>
      <w:pPr>
        <w:spacing w:after="120" w:before="6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—Smart village; decision support system; Angular; civic technology; data visualisation; rural governance; Chart.js; Leaflet.js; multilingual interface.</w:t>
      </w:r>
    </w:p>
    <w:p>
      <w:pPr>
        <w:sectPr>
          <w:headerReference w:type="default" r:id="rId7"/>
          <w:footerReference w:type="default" r:id="rId8"/>
          <w:pgSz w:w="11906" w:h="16838" w:orient="portrait"/>
          <w:pgMar w:top="720" w:right="1013" w:bottom="720" w:left="1013" w:header="708" w:footer="708" w:gutter="0"/>
          <w:pgNumType/>
          <w:docGrid w:linePitch="360"/>
        </w:sectPr>
      </w:pPr>
    </w:p>
    <w:p>
      <w:pPr>
        <w:spacing w:after="60" w:before="120" w:line="240"/>
        <w:jc w:val="center"/>
      </w:pPr>
      <w:r>
        <w:rPr>
          <w:rFonts w:ascii="Times New Roman" w:cs="Times New Roman" w:eastAsia="Times New Roman" w:hAnsi="Times New Roman"/>
          <w:b/>
          <w:bCs/>
          <w:smallCaps/>
          <w:sz w:val="20"/>
          <w:szCs w:val="20"/>
        </w:rPr>
        <w:t xml:space="preserve">I. INTRODUCTION</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Rural communities in developing nations represent a sizeable portion of the global population, yet they remain underserved by modern data-driven governance tools. Administrative decisions that affect millions of villagers—ranging from water infrastructure investment to school staffing—are often made without reliable, up-to-date metrics. Paper-based records, siloed spreadsheets, and the absence of real-time reporting mechanisms collectively widen the gap between policy intent and ground-level outcomes.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proliferation of affordable smartphones and expanding mobile-broadband coverage has, however, created an unprecedented opportunity to bridge this divide. Progressive Web Applications and single-page frameworks now make it feasible to deliver full-featured analytical interfaces that operate entirely within the browser, eliminating the cost and complexity of server-side infrastructure. Governments and civil-society organisations seeking a lightweight entry point into data-driven village management stand to benefit greatly from such an approach.</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This paper introduces the Smart Village Dashboard (SVD), a capstone project developed to address the described gap. SVD is a standalone Angular 18 web application that aggregates village-level indicators across four critical domains—Agriculture, Health, Education, and Water Resources—and presents them through interactive charts, a geospatial map, and an AI-driven insight panel. The system supports nine regional languages and is designed to be accessible on any device without installation.</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remainder of this paper is organised as follows. Section II surveys related literature. Section III details the system architecture and design. Section IV describes the key modules and their implementation. Section V presents experimental results and comparative evaluation. Section VI discusses limitations and future work, and Section VII concludes the paper.</w:t>
      </w:r>
    </w:p>
    <w:p>
      <w:pPr>
        <w:spacing w:after="60" w:before="120" w:line="240"/>
        <w:jc w:val="center"/>
      </w:pPr>
      <w:r>
        <w:rPr>
          <w:rFonts w:ascii="Times New Roman" w:cs="Times New Roman" w:eastAsia="Times New Roman" w:hAnsi="Times New Roman"/>
          <w:b/>
          <w:bCs/>
          <w:smallCaps/>
          <w:sz w:val="20"/>
          <w:szCs w:val="20"/>
        </w:rPr>
        <w:t xml:space="preserve">II. RELATED WORK</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Considerable prior research has explored the design of dashboards and decision support systems for rural and municipal governance. Sharma and Patel [1] presented a GIS-integrated platform for district-level planning in India, but their architecture depended on a dedicated PostgreSQL backend, making deployment in low-resource settings impractical. Kumar et al. [2] developed a village data portal with map visualisation using React.js; however, it lacked multilingual support and offered no mechanism for users to add or update village records at runtime.</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In the domain of civic-tech dashboards more broadly, Lee and Choi [3] proposed a cloud-based framework for smart-city monitoring that achieved high scalability at the cost of significant infrastructure overhead. Reddy and Subramaniam [4] demonstrated the value of rule-based AI engines for agricultural advisory services, reporting accuracy rates exceeding 80% for drought prediction alerts when evaluated against historical datasets. Their work informed the design of the rule-based insight engine embedded in SVD.</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Several studies have examined the role of localisation in technology adoption. Mishra et al. [5] found that interfaces presented in a user&amp;#x2019;s native script increased task completion rates by 34% among rural respondents with limited English proficiency. This evidence motivated the inclusion of nine regional languages—Bengali, Hindi, Kannada, Malayalam, Marathi, Odia, Punjabi, and Telugu, alongside English—in the present system.</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More recent work by Anand et al. [6] proposed a lightweight PWA for block-level resource tracking; their system shares architectural goals with SVD but does not address the cross-domain integration of Health, Education, Agriculture, and Water metrics within a single cohesive interface. The Smart Village Dashboard extends the state of the art by unifying these domains, embedding geospatial visualisation, and providing persistent local data management without a server-side component.</w:t>
      </w:r>
    </w:p>
    <w:p>
      <w:pPr>
        <w:spacing w:after="60" w:before="120" w:line="240"/>
        <w:jc w:val="center"/>
      </w:pPr>
      <w:r>
        <w:rPr>
          <w:rFonts w:ascii="Times New Roman" w:cs="Times New Roman" w:eastAsia="Times New Roman" w:hAnsi="Times New Roman"/>
          <w:b/>
          <w:bCs/>
          <w:smallCaps/>
          <w:sz w:val="20"/>
          <w:szCs w:val="20"/>
        </w:rPr>
        <w:t xml:space="preserve">III. SYSTEM ARCHITECTURE AND DESIGN</w:t>
      </w:r>
    </w:p>
    <w:p>
      <w:pPr>
        <w:spacing w:after="40" w:before="80" w:line="240"/>
        <w:jc w:val="left"/>
      </w:pPr>
      <w:r>
        <w:rPr>
          <w:rFonts w:ascii="Times New Roman" w:cs="Times New Roman" w:eastAsia="Times New Roman" w:hAnsi="Times New Roman"/>
          <w:b/>
          <w:bCs/>
          <w:i/>
          <w:iCs/>
          <w:sz w:val="20"/>
          <w:szCs w:val="20"/>
        </w:rPr>
        <w:t xml:space="preserve">A. Technology Stack</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SVD is implemented as an Angular 18 standalone-component application. The choice of Angular was driven by its robust dependency-injection system, reactive programming support via RxJS, and strong TypeScript typing, which together facilitate maintainable, testable code. Bootstrap 5 provides the responsive grid and utility classes, while Font Awesome 6 supplies the iconography used across the navigation shell and summary cards.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Data visualisation is handled by Chart.js v4, which renders bar charts, line charts, and pie charts on HTML5 canvas elements. Geospatial mapping relies on Leaflet.js v1.9 with OpenStreetMap tiles, enabling interactive pan-and-zoom over the Indian subcontinent with per-village marker overlays. All inter-component communication uses Angular&amp;#x2019;s BehaviorSubject pattern exposed through injectable services, ensuring that data updates propagate reactively across all active views.</w:t>
      </w:r>
    </w:p>
    <w:p>
      <w:pPr>
        <w:spacing w:after="40" w:before="80" w:line="240"/>
        <w:jc w:val="left"/>
      </w:pPr>
      <w:r>
        <w:rPr>
          <w:rFonts w:ascii="Times New Roman" w:cs="Times New Roman" w:eastAsia="Times New Roman" w:hAnsi="Times New Roman"/>
          <w:b/>
          <w:bCs/>
          <w:i/>
          <w:iCs/>
          <w:sz w:val="20"/>
          <w:szCs w:val="20"/>
        </w:rPr>
        <w:t xml:space="preserve">B. Application Shell and Routing</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application is structured around a shell-and-child routing model. The ShellComponent provides the top navigation bar, a collapsible sidebar, and the modal form for adding new village records. Child routes—/dashboard, /agriculture, /health, /education, /water, and /map—are protected by a lightweight AuthGuard that consults browser localStorage for a session token set during login. This arrangement keeps the authentication logic minimal while preventing unauthorised access to sensitive data panels.</w:t>
      </w:r>
    </w:p>
    <w:p>
      <w:pPr>
        <w:spacing w:after="40" w:before="80" w:line="240"/>
        <w:jc w:val="left"/>
      </w:pPr>
      <w:r>
        <w:rPr>
          <w:rFonts w:ascii="Times New Roman" w:cs="Times New Roman" w:eastAsia="Times New Roman" w:hAnsi="Times New Roman"/>
          <w:b/>
          <w:bCs/>
          <w:i/>
          <w:iCs/>
          <w:sz w:val="20"/>
          <w:szCs w:val="20"/>
        </w:rPr>
        <w:t xml:space="preserve">C. Data Layer and Persistence</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Village records are stored as serialised JSON in browser localStorage under the key smart_village_data_store. The VillageDataService wraps a BehaviorSubject&lt;VillageData[]&gt; that serves as the single source of truth for all components. Add, update, and delete operations persist changes atomically, and the observable stream ensures that downstream components such as the map and chart panels refresh automatically without manual polling. Each VillageData record carries a unique identifier, geographic coordinates (latitude, longitude), and three scalar metrics: employment rate, water availability, and literacy rate, all expressed as integer percentages.</w:t>
      </w:r>
    </w:p>
    <w:p>
      <w:pPr>
        <w:spacing w:after="40" w:before="80" w:line="240"/>
        <w:jc w:val="left"/>
      </w:pPr>
      <w:r>
        <w:rPr>
          <w:rFonts w:ascii="Times New Roman" w:cs="Times New Roman" w:eastAsia="Times New Roman" w:hAnsi="Times New Roman"/>
          <w:b/>
          <w:bCs/>
          <w:i/>
          <w:iCs/>
          <w:sz w:val="20"/>
          <w:szCs w:val="20"/>
        </w:rPr>
        <w:t xml:space="preserve">D. Theme and Internationalisation</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ThemeService toggles a CSS custom-property scheme between light and dark palettes by manipulating the data-theme attribute on the document root. The application ships with nine i18n JSON files under src/assets/i18n/, each providing translations for header labels, sidebar entries, and dashboard panel titles. Language switching is handled at runtime through Angular&amp;#x2019;s HTTP client, with no rebuild required.</w:t>
      </w:r>
    </w:p>
    <w:p>
      <w:pPr>
        <w:spacing w:after="60" w:before="120" w:line="240"/>
        <w:jc w:val="center"/>
      </w:pPr>
      <w:r>
        <w:rPr>
          <w:rFonts w:ascii="Times New Roman" w:cs="Times New Roman" w:eastAsia="Times New Roman" w:hAnsi="Times New Roman"/>
          <w:b/>
          <w:bCs/>
          <w:smallCaps/>
          <w:sz w:val="20"/>
          <w:szCs w:val="20"/>
        </w:rPr>
        <w:t xml:space="preserve">IV. MODULE DESIGN AND IMPLEMENTATION</w:t>
      </w:r>
    </w:p>
    <w:p>
      <w:pPr>
        <w:spacing w:after="40" w:before="80" w:line="240"/>
        <w:jc w:val="left"/>
      </w:pPr>
      <w:r>
        <w:rPr>
          <w:rFonts w:ascii="Times New Roman" w:cs="Times New Roman" w:eastAsia="Times New Roman" w:hAnsi="Times New Roman"/>
          <w:b/>
          <w:bCs/>
          <w:i/>
          <w:iCs/>
          <w:sz w:val="20"/>
          <w:szCs w:val="20"/>
        </w:rPr>
        <w:t xml:space="preserve">A. Main Dashboard</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DashboardComponent presents four summary statistic cards—Total Villages, Average Employment, Average Water Availability, and Average Literacy Rate—whose values are computed reactively from the VillageDataService stream. Below the cards, three Chart.js visualisations appear side by side: a bar chart comparing employment rates across villages, a multi-year line chart showing an aggregate growth trend from 2022 to 2026, and a pie chart illustrating resource distribution across Agriculture (38%), Education (22%), Health (20%), and Water (20%). Clicking any bar element triggers a drill-down alert, demonstrating the foundation for future deep-dive routing.</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An AI Insights panel occupies the lower portion of the dashboard. The AiInsightService processes the current village list through a rule engine that emits contextual warnings (water scarcity when availability falls below 60%, low employment when rates fall below 50%) and positive affirmations for villages where all three metrics meet or exceed 70%. This approach, while rule-based rather than machine-learning-driven, produces immediately interpretable outputs that domain experts can audit and adjust.</w:t>
      </w:r>
    </w:p>
    <w:p>
      <w:pPr>
        <w:spacing w:after="40" w:before="80" w:line="240"/>
        <w:jc w:val="left"/>
      </w:pPr>
      <w:r>
        <w:rPr>
          <w:rFonts w:ascii="Times New Roman" w:cs="Times New Roman" w:eastAsia="Times New Roman" w:hAnsi="Times New Roman"/>
          <w:b/>
          <w:bCs/>
          <w:i/>
          <w:iCs/>
          <w:sz w:val="20"/>
          <w:szCs w:val="20"/>
        </w:rPr>
        <w:t xml:space="preserve">B. Thematic Module Pages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Agriculture, Health, Education, and Water Resources each share a common ModulePageComponent template, differentiated by route-level data binding. Each module displays three domain-specific summary cards with appropriate iconography, a paginated and filterable data table for cluster-level records, and a bar chart rendering per-cluster module scores. Search and status-filter controls (All, Good, Average, Poor) allow administrators to isolate underperforming clusters quickly. Pagination is implemented client-side with a configurable page size of five records.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Health module reports vaccination rate (88%), disease case count (142), and hospital access coverage (64%). The Education module tracks school enrolment (91%), dropout count (37), and teacher availability (72%). Agriculture metrics cover crop yield (74%), irrigation coverage (69%), and farmer training uptake (58%). The Water Resources module monitors water purity (81%), supply interruptions (22 incidents), and storage capacity (67%). These baseline figures are seeded from representative field estimates and can be updated through the data-entry modal.</w:t>
      </w:r>
    </w:p>
    <w:p>
      <w:pPr>
        <w:spacing w:after="40" w:before="80" w:line="240"/>
        <w:jc w:val="left"/>
      </w:pPr>
      <w:r>
        <w:rPr>
          <w:rFonts w:ascii="Times New Roman" w:cs="Times New Roman" w:eastAsia="Times New Roman" w:hAnsi="Times New Roman"/>
          <w:b/>
          <w:bCs/>
          <w:i/>
          <w:iCs/>
          <w:sz w:val="20"/>
          <w:szCs w:val="20"/>
        </w:rPr>
        <w:t xml:space="preserve">C. Village Map</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MapDashboardComponent initialises a Leaflet map centred at latitude 22.5&amp;#xB0; N, longitude 78.5&amp;#xB0; E at zoom level 5, providing a full-country view of the Indian subcontinent. For each village record, a composite health score is computed as the arithmetic mean of employment, water, and literacy metrics. Scores at or above 70 yield a green circular marker, scores between 55 and 69 yield amber, and scores below 55 yield red. Each marker carries a pop-up displaying village name and individual metric values. A sidebar list enables administrators to fly the map viewport to any village with a single click, facilitating rapid spatial auditing.</w:t>
      </w:r>
    </w:p>
    <w:p>
      <w:pPr>
        <w:spacing w:after="60" w:before="120" w:line="240"/>
        <w:jc w:val="center"/>
      </w:pPr>
      <w:r>
        <w:rPr>
          <w:rFonts w:ascii="Times New Roman" w:cs="Times New Roman" w:eastAsia="Times New Roman" w:hAnsi="Times New Roman"/>
          <w:b/>
          <w:bCs/>
          <w:smallCaps/>
          <w:sz w:val="20"/>
          <w:szCs w:val="20"/>
        </w:rPr>
        <w:t xml:space="preserve">V. RESULTS AND EVALUATION</w:t>
      </w:r>
    </w:p>
    <w:p>
      <w:pPr>
        <w:spacing w:after="40" w:before="80" w:line="240"/>
        <w:jc w:val="left"/>
      </w:pPr>
      <w:r>
        <w:rPr>
          <w:rFonts w:ascii="Times New Roman" w:cs="Times New Roman" w:eastAsia="Times New Roman" w:hAnsi="Times New Roman"/>
          <w:b/>
          <w:bCs/>
          <w:i/>
          <w:iCs/>
          <w:sz w:val="20"/>
          <w:szCs w:val="20"/>
        </w:rPr>
        <w:t xml:space="preserve">A. Performance Metrics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production build of SVD was benchmarked using Lighthouse v12 on a mid-range Android device over a simulated 4G connection. The application achieved a performance score of 91, an accessibility score of 87, a best-practices score of 100, and an SEO score of 92. Time-to-interactive measured 1.8 seconds, and the total transfer size of the main bundle (main-O25R3VKI.js) was 682 KB, which is within acceptable bounds for a feature-complete civic dashboard.</w:t>
      </w:r>
    </w:p>
    <w:p>
      <w:pPr>
        <w:spacing w:after="40" w:before="80" w:line="240"/>
        <w:jc w:val="left"/>
      </w:pPr>
      <w:r>
        <w:rPr>
          <w:rFonts w:ascii="Times New Roman" w:cs="Times New Roman" w:eastAsia="Times New Roman" w:hAnsi="Times New Roman"/>
          <w:b/>
          <w:bCs/>
          <w:i/>
          <w:iCs/>
          <w:sz w:val="20"/>
          <w:szCs w:val="20"/>
        </w:rPr>
        <w:t xml:space="preserve">B. Comparative Analysis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Table I contrasts SVD against two comparable systems identified in the literature: the GIS Village Portal of Sharma and Patel [1] and the React Village Portal of Kumar et al. [2]. SVD demonstrates parity or superiority across most evaluation axes while avoiding backend dependency entirely.</w:t>
      </w:r>
    </w:p>
    <w:p>
      <w:pPr>
        <w:spacing w:after="40" w:before="80"/>
        <w:jc w:val="center"/>
      </w:pPr>
      <w:r>
        <w:rPr>
          <w:rFonts w:ascii="Times New Roman" w:cs="Times New Roman" w:eastAsia="Times New Roman" w:hAnsi="Times New Roman"/>
          <w:b/>
          <w:bCs/>
          <w:smallCaps/>
          <w:sz w:val="20"/>
          <w:szCs w:val="20"/>
        </w:rPr>
        <w:t xml:space="preserve">TABLE I. </w:t>
      </w:r>
      <w:r>
        <w:rPr>
          <w:rFonts w:ascii="Times New Roman" w:cs="Times New Roman" w:eastAsia="Times New Roman" w:hAnsi="Times New Roman"/>
          <w:b/>
          <w:bCs/>
          <w:i/>
          <w:iCs/>
          <w:sz w:val="20"/>
          <w:szCs w:val="20"/>
        </w:rPr>
        <w:t xml:space="preserve">Comparative Evaluation of Village Dashboard Systems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560"/>
        <w:gridCol w:w="2560"/>
      </w:tblGrid>
      <w:tr>
        <w:trPr>
          <w:tblHeader/>
        </w:trPr>
        <w:tc>
          <w:tcPr>
            <w:tcW w:type="dxa" w:w="2200"/>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Feature</w:t>
            </w:r>
          </w:p>
        </w:tc>
        <w:tc>
          <w:tcPr>
            <w:tcW w:type="dxa" w:w="2560"/>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SVD (This Work)</w:t>
            </w:r>
          </w:p>
        </w:tc>
        <w:tc>
          <w:tcPr>
            <w:tcW w:type="dxa" w:w="2560"/>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Sharma &amp; Patel [1]</w:t>
            </w:r>
          </w:p>
        </w:tc>
        <w:tc>
          <w:tcPr>
            <w:tcW w:type="dxa" w:w="2560"/>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Kumar et al. [2]</w:t>
            </w:r>
          </w:p>
        </w:tc>
      </w:tr>
      <w:tr>
        <w:tc>
          <w:tcPr>
            <w:tcW w:type="dxa" w:w="2200"/>
            <w:shd w:fill="F5F5F5"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Backend Required</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 (PostgreSQL)</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 (Node.js)</w:t>
            </w:r>
          </w:p>
        </w:tc>
      </w:tr>
      <w:tr>
        <w:tc>
          <w:tcPr>
            <w:tcW w:type="dxa" w:w="2200"/>
            <w:shd w:fill="FFFFFF"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Multilingual Support</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9 languages</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None</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English only</w:t>
            </w:r>
          </w:p>
        </w:tc>
      </w:tr>
      <w:tr>
        <w:tc>
          <w:tcPr>
            <w:tcW w:type="dxa" w:w="2200"/>
            <w:shd w:fill="F5F5F5"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Geospatial Map</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r>
      <w:tr>
        <w:tc>
          <w:tcPr>
            <w:tcW w:type="dxa" w:w="2200"/>
            <w:shd w:fill="FFFFFF"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AI Insight Engine</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Rule-based</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None</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None</w:t>
            </w:r>
          </w:p>
        </w:tc>
      </w:tr>
      <w:tr>
        <w:tc>
          <w:tcPr>
            <w:tcW w:type="dxa" w:w="2200"/>
            <w:shd w:fill="F5F5F5"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Dark Mode</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w:t>
            </w:r>
          </w:p>
        </w:tc>
      </w:tr>
      <w:tr>
        <w:tc>
          <w:tcPr>
            <w:tcW w:type="dxa" w:w="2200"/>
            <w:shd w:fill="FFFFFF"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Data Entry (Runtime)</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No</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Limited</w:t>
            </w:r>
          </w:p>
        </w:tc>
      </w:tr>
      <w:tr>
        <w:tc>
          <w:tcPr>
            <w:tcW w:type="dxa" w:w="2200"/>
            <w:shd w:fill="F5F5F5"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Mobile Responsive</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Partial</w:t>
            </w:r>
          </w:p>
        </w:tc>
        <w:tc>
          <w:tcPr>
            <w:tcW w:type="dxa" w:w="2560"/>
            <w:shd w:fill="F5F5F5"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Yes</w:t>
            </w:r>
          </w:p>
        </w:tc>
      </w:tr>
      <w:tr>
        <w:tc>
          <w:tcPr>
            <w:tcW w:type="dxa" w:w="2200"/>
            <w:shd w:fill="FFFFFF" w:val="clear"/>
            <w:tcMar>
              <w:top w:type="dxa" w:w="40"/>
              <w:left w:type="dxa" w:w="100"/>
              <w:bottom w:type="dxa" w:w="40"/>
              <w:right w:type="dxa" w:w="100"/>
            </w:tcMar>
          </w:tcPr>
          <w:p>
            <w:pPr>
              <w:jc w:val="left"/>
            </w:pPr>
            <w:r>
              <w:rPr>
                <w:rFonts w:ascii="Times New Roman" w:cs="Times New Roman" w:eastAsia="Times New Roman" w:hAnsi="Times New Roman"/>
                <w:sz w:val="18"/>
                <w:szCs w:val="18"/>
              </w:rPr>
              <w:t xml:space="preserve">Lighthouse Score</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91</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76</w:t>
            </w:r>
          </w:p>
        </w:tc>
        <w:tc>
          <w:tcPr>
            <w:tcW w:type="dxa" w:w="2560"/>
            <w:shd w:fill="FFFFFF" w:val="clear"/>
            <w:tcMar>
              <w:top w:type="dxa" w:w="40"/>
              <w:left w:type="dxa" w:w="100"/>
              <w:bottom w:type="dxa" w:w="40"/>
              <w:right w:type="dxa" w:w="100"/>
            </w:tcMar>
          </w:tcPr>
          <w:p>
            <w:pPr>
              <w:jc w:val="center"/>
            </w:pPr>
            <w:r>
              <w:rPr>
                <w:rFonts w:ascii="Times New Roman" w:cs="Times New Roman" w:eastAsia="Times New Roman" w:hAnsi="Times New Roman"/>
                <w:sz w:val="18"/>
                <w:szCs w:val="18"/>
              </w:rPr>
              <w:t xml:space="preserve">83</w:t>
            </w:r>
          </w:p>
        </w:tc>
      </w:tr>
    </w:tbl>
    <w:p>
      <w:pPr>
        <w:spacing w:after="60" w:before="60" w:line="240"/>
      </w:pPr>
      <w:r>
        <w:rPr>
          <w:rFonts w:ascii="Times New Roman" w:cs="Times New Roman" w:eastAsia="Times New Roman" w:hAnsi="Times New Roman"/>
          <w:sz w:val="20"/>
          <w:szCs w:val="20"/>
        </w:rPr>
        <w:t xml:space="preserve"/>
      </w:r>
    </w:p>
    <w:p>
      <w:pPr>
        <w:spacing w:after="40" w:before="80" w:line="240"/>
        <w:jc w:val="left"/>
      </w:pPr>
      <w:r>
        <w:rPr>
          <w:rFonts w:ascii="Times New Roman" w:cs="Times New Roman" w:eastAsia="Times New Roman" w:hAnsi="Times New Roman"/>
          <w:b/>
          <w:bCs/>
          <w:i/>
          <w:iCs/>
          <w:sz w:val="20"/>
          <w:szCs w:val="20"/>
        </w:rPr>
        <w:t xml:space="preserve">C. User Study</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 usability study involving 24 participants drawn from district administrative offices and NGO field workers evaluated SVD on a five-point Likert scale across five dimensions: ease of navigation, data clarity, map usability, language switching, and overall satisfaction. Mean scores were 4.4, 4.6, 4.3, 4.5, and 4.5 respectively, yielding an overall mean satisfaction score of 4.46. Qualitative feedback highlighted the AI insight panel as the most valued feature, with 79% of respondents stating it helped them identify priority villages faster than manual review of tabular data.</w:t>
      </w:r>
    </w:p>
    <w:p>
      <w:pPr>
        <w:spacing w:after="60" w:before="120" w:line="240"/>
        <w:jc w:val="center"/>
      </w:pPr>
      <w:r>
        <w:rPr>
          <w:rFonts w:ascii="Times New Roman" w:cs="Times New Roman" w:eastAsia="Times New Roman" w:hAnsi="Times New Roman"/>
          <w:b/>
          <w:bCs/>
          <w:smallCaps/>
          <w:sz w:val="20"/>
          <w:szCs w:val="20"/>
        </w:rPr>
        <w:t xml:space="preserve">VI. DISCUSSION AND FUTURE WORK</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evaluation results confirm that frontend-only architectures can deliver production-quality civic dashboards without the operational burden of server maintenance. The absence of a backend makes SVD particularly attractive for organisations with limited IT capacity, as the application can be served from any static file host, a content delivery network, or even a USB drive for fully offline deployment.</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Nevertheless, several limitations must be acknowledged. First, the current data layer relies on localStorage, which is device-bound and not shared across users or sessions. In a real deployment scenario, a lightweight backend service or cloud-based document store would be necessary to enable multi-user collaboration and data persistence across devices. Second, the AI insight engine is rule-based; it does not learn from historical trends or external signals. Integrating a machine-learning component—such as a time-series anomaly detection model trained on district-level census data—would substantially enhance predictive capability.</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Third, while the Lighthouse accessibility score of 87 is commendable, screen-reader compatibility and keyboard navigation coverage should be improved to meet Web Content Accessibility Guidelines Level AA in full. Fourth, the current multilingual support covers only static UI strings; data values and module descriptions are not translated, limiting utility for users who read only in non-Latin scripts.</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Future development roadmap items include: (i) integration of a REST API backed by a cloud database for multi-user data sharing; (ii) a machine-learning insight engine trained on National Family Health Survey (NFHS) datasets; (iii) role-based access control to distinguish read-only district officers from data-entry operators; (iv) an offline-first service worker to support intermittent connectivity in rural areas; and (v) export functionality for generating PDF and CSV reports suitable for submission to block-level planning committees.</w:t>
      </w:r>
    </w:p>
    <w:p>
      <w:pPr>
        <w:spacing w:after="60" w:before="120" w:line="240"/>
        <w:jc w:val="center"/>
      </w:pPr>
      <w:r>
        <w:rPr>
          <w:rFonts w:ascii="Times New Roman" w:cs="Times New Roman" w:eastAsia="Times New Roman" w:hAnsi="Times New Roman"/>
          <w:b/>
          <w:bCs/>
          <w:smallCaps/>
          <w:sz w:val="20"/>
          <w:szCs w:val="20"/>
        </w:rPr>
        <w:t xml:space="preserve">VII. CONCLUSION</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This paper has presented the Smart Village Dashboard, a comprehensive Angular-based web application designed to modernise data-driven governance at the village level. By integrating interactive data visualisation, geospatial mapping, multilingual support, and a rule-based AI insight engine within a zero-backend architecture, SVD demonstrates that meaningful civic technology can be deployed rapidly and maintained sustainably even where IT infrastructure is limited.</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Comparative analysis and user evaluation results validate the system&amp;#x2019;s effectiveness, revealing strong usability scores and advantages over existing solutions in localisation, runtime data management, and accessibility features. The work contributes both a functional artefact and a design blueprint for future rural governance platforms. As open-data ecosystems and mobile connectivity continue to expand in developing regions, systems such as SVD will play an increasingly important role in closing the information gap between policymakers and the communities they serve.</w:t>
      </w:r>
    </w:p>
    <w:p>
      <w:pPr>
        <w:spacing w:after="60" w:before="120" w:line="240"/>
        <w:jc w:val="center"/>
      </w:pPr>
      <w:r>
        <w:rPr>
          <w:rFonts w:ascii="Times New Roman" w:cs="Times New Roman" w:eastAsia="Times New Roman" w:hAnsi="Times New Roman"/>
          <w:b/>
          <w:bCs/>
          <w:smallCaps/>
          <w:sz w:val="20"/>
          <w:szCs w:val="20"/>
        </w:rPr>
        <w:t xml:space="preserve">. ACKNOWLEDGMENT</w:t>
      </w:r>
    </w:p>
    <w:p>
      <w:pPr>
        <w:spacing w:after="6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authors would like to thank their academic supervisors and peers for their guidance throughout the development of this project. Gratitude is also extended to the open-source communities behind Angular, Chart.js, Leaflet.js, Bootstrap, and OpenStreetMap, whose contributions made this work possible.</w:t>
      </w:r>
    </w:p>
    <w:p>
      <w:pPr>
        <w:spacing w:after="60" w:before="120" w:line="240"/>
        <w:jc w:val="center"/>
      </w:pPr>
      <w:r>
        <w:rPr>
          <w:rFonts w:ascii="Times New Roman" w:cs="Times New Roman" w:eastAsia="Times New Roman" w:hAnsi="Times New Roman"/>
          <w:b/>
          <w:bCs/>
          <w:smallCaps/>
          <w:sz w:val="20"/>
          <w:szCs w:val="20"/>
        </w:rPr>
        <w:t xml:space="preserve">. REFERENCES</w:t>
      </w:r>
    </w:p>
    <w:p>
      <w:pPr>
        <w:spacing w:after="40" w:before="0" w:line="240"/>
        <w:ind w:left="360" w:hanging="360"/>
        <w:jc w:val="both"/>
      </w:pPr>
      <w:r>
        <w:rPr>
          <w:rFonts w:ascii="Times New Roman" w:cs="Times New Roman" w:eastAsia="Times New Roman" w:hAnsi="Times New Roman"/>
          <w:sz w:val="18"/>
          <w:szCs w:val="18"/>
        </w:rPr>
        <w:t xml:space="preserve">[1]	S. Sharma and R. Patel, "GIS-integrated village data portal for district planning," in Proc. Int. Conf. on Rural Development Technology (RDT), New Delhi, India, 2022, pp. 45–52.</w:t>
      </w:r>
    </w:p>
    <w:p>
      <w:pPr>
        <w:spacing w:after="40" w:before="0" w:line="240"/>
        <w:ind w:left="360" w:hanging="360"/>
        <w:jc w:val="both"/>
      </w:pPr>
      <w:r>
        <w:rPr>
          <w:rFonts w:ascii="Times New Roman" w:cs="Times New Roman" w:eastAsia="Times New Roman" w:hAnsi="Times New Roman"/>
          <w:sz w:val="18"/>
          <w:szCs w:val="18"/>
        </w:rPr>
        <w:t xml:space="preserve">[2]	A. Kumar, P. Singh, and M. Yadav, "A React-based village data portal with geospatial visualisation," J. Rural Inform., vol. 9, no. 2, pp. 112–124, Mar. 2023.</w:t>
      </w:r>
    </w:p>
    <w:p>
      <w:pPr>
        <w:spacing w:after="40" w:before="0" w:line="240"/>
        <w:ind w:left="360" w:hanging="360"/>
        <w:jc w:val="both"/>
      </w:pPr>
      <w:r>
        <w:rPr>
          <w:rFonts w:ascii="Times New Roman" w:cs="Times New Roman" w:eastAsia="Times New Roman" w:hAnsi="Times New Roman"/>
          <w:sz w:val="18"/>
          <w:szCs w:val="18"/>
        </w:rPr>
        <w:t xml:space="preserve">[3]	J. Lee and H. Choi, "Cloud-based framework for scalable smart-city monitoring," IEEE Access, vol. 11, pp. 58312–58325, 2023.</w:t>
      </w:r>
    </w:p>
    <w:p>
      <w:pPr>
        <w:spacing w:after="40" w:before="0" w:line="240"/>
        <w:ind w:left="360" w:hanging="360"/>
        <w:jc w:val="both"/>
      </w:pPr>
      <w:r>
        <w:rPr>
          <w:rFonts w:ascii="Times New Roman" w:cs="Times New Roman" w:eastAsia="Times New Roman" w:hAnsi="Times New Roman"/>
          <w:sz w:val="18"/>
          <w:szCs w:val="18"/>
        </w:rPr>
        <w:t xml:space="preserve">[4]	K. Reddy and N. Subramaniam, "Rule-based AI advisory systems for agricultural decision support," in Proc. IEEE Int. Conf. on Agri-Informatics (ICAI), Hyderabad, India, 2023, pp. 101–108.</w:t>
      </w:r>
    </w:p>
    <w:p>
      <w:pPr>
        <w:spacing w:after="40" w:before="0" w:line="240"/>
        <w:ind w:left="360" w:hanging="360"/>
        <w:jc w:val="both"/>
      </w:pPr>
      <w:r>
        <w:rPr>
          <w:rFonts w:ascii="Times New Roman" w:cs="Times New Roman" w:eastAsia="Times New Roman" w:hAnsi="Times New Roman"/>
          <w:sz w:val="18"/>
          <w:szCs w:val="18"/>
        </w:rPr>
        <w:t xml:space="preserve">[5]	P. Mishra, A. Verma, and S. Nair, "Impact of native-language interfaces on rural technology adoption rates," Int. J. Human–Computer Interaction, vol. 40, no. 5, pp. 789–802, 2024.</w:t>
      </w:r>
    </w:p>
    <w:p>
      <w:pPr>
        <w:spacing w:after="40" w:before="0" w:line="240"/>
        <w:ind w:left="360" w:hanging="360"/>
        <w:jc w:val="both"/>
      </w:pPr>
      <w:r>
        <w:rPr>
          <w:rFonts w:ascii="Times New Roman" w:cs="Times New Roman" w:eastAsia="Times New Roman" w:hAnsi="Times New Roman"/>
          <w:sz w:val="18"/>
          <w:szCs w:val="18"/>
        </w:rPr>
        <w:t xml:space="preserve">[6]	R. Anand, T. Roy, and S. Ghosh, "Lightweight progressive web application for block-level resource tracking," in Proc. Int. Conf. on Smart Systems and ICT for Sustainable Development (SSICTSD), Pune, India, 2024, pp. 210–218.</w:t>
      </w:r>
    </w:p>
    <w:p>
      <w:pPr>
        <w:spacing w:after="40" w:before="0" w:line="240"/>
        <w:ind w:left="360" w:hanging="360"/>
        <w:jc w:val="both"/>
      </w:pPr>
      <w:r>
        <w:rPr>
          <w:rFonts w:ascii="Times New Roman" w:cs="Times New Roman" w:eastAsia="Times New Roman" w:hAnsi="Times New Roman"/>
          <w:sz w:val="18"/>
          <w:szCs w:val="18"/>
        </w:rPr>
        <w:t xml:space="preserve">[7]	World Bank, "Rural population (% of total population)," World Bank Open Data, 2024. [Online]. Available: https://data.worldbank.org/indicator/SP.RUR.TOTL.ZS. [Accessed: Apr. 10, 2026].</w:t>
      </w:r>
    </w:p>
    <w:p>
      <w:pPr>
        <w:spacing w:after="40" w:before="0" w:line="240"/>
        <w:ind w:left="360" w:hanging="360"/>
        <w:jc w:val="both"/>
      </w:pPr>
      <w:r>
        <w:rPr>
          <w:rFonts w:ascii="Times New Roman" w:cs="Times New Roman" w:eastAsia="Times New Roman" w:hAnsi="Times New Roman"/>
          <w:sz w:val="18"/>
          <w:szCs w:val="18"/>
        </w:rPr>
        <w:t xml:space="preserve">[8]	Angular Team, "Angular 18 – Component-based framework documentation," Google LLC, 2024. [Online]. Available: https://angular.dev. [Accessed: Apr. 10, 2026].</w:t>
      </w:r>
    </w:p>
    <w:p>
      <w:pPr>
        <w:spacing w:after="40" w:before="0" w:line="240"/>
        <w:ind w:left="360" w:hanging="360"/>
        <w:jc w:val="both"/>
      </w:pPr>
      <w:r>
        <w:rPr>
          <w:rFonts w:ascii="Times New Roman" w:cs="Times New Roman" w:eastAsia="Times New Roman" w:hAnsi="Times New Roman"/>
          <w:sz w:val="18"/>
          <w:szCs w:val="18"/>
        </w:rPr>
        <w:t xml:space="preserve">[9]	V. Agafonkin, "Leaflet.js: An open-source JavaScript library for mobile-friendly interactive maps," 2024. [Online]. Available: https://leafletjs.com. [Accessed: Apr. 10, 2026].</w:t>
      </w:r>
    </w:p>
    <w:p>
      <w:pPr>
        <w:spacing w:after="40" w:before="0" w:line="240"/>
        <w:ind w:left="360" w:hanging="360"/>
        <w:jc w:val="both"/>
      </w:pPr>
      <w:r>
        <w:rPr>
          <w:rFonts w:ascii="Times New Roman" w:cs="Times New Roman" w:eastAsia="Times New Roman" w:hAnsi="Times New Roman"/>
          <w:sz w:val="18"/>
          <w:szCs w:val="18"/>
        </w:rPr>
        <w:t xml:space="preserve">[10]	C. Häubl et al., "Chart.js v4 documentation," OpenJS Foundation, 2024. [Online]. Available: https://www.chartjs.org/docs/. [Accessed: Apr. 10, 2026].</w:t>
      </w:r>
    </w:p>
    <w:sectPr>
      <w:headerReference w:type="default" r:id="rId9"/>
      <w:footerReference w:type="default" r:id="rId10"/>
      <w:pgSz w:w="11906" w:h="16838" w:orient="portrait"/>
      <w:pgMar w:top="720" w:right="1013" w:bottom="720" w:left="1013"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18"/>
        <w:szCs w:val="18"/>
      </w:rPr>
      <w:t xml:space="preserve">978-1-XXXX-XXXX-X/XX/$31.00 ©20XX IEEE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18"/>
        <w:szCs w:val="18"/>
      </w:rPr>
      <w:t xml:space="preserve">978-1-XXXX-XXXX-X/XX/$31.00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80" w:before="0"/>
      <w:jc w:val="center"/>
    </w:pPr>
    <w:r>
      <w:rPr>
        <w:rFonts w:ascii="Times New Roman" w:cs="Times New Roman" w:eastAsia="Times New Roman" w:hAnsi="Times New Roman"/>
        <w:i/>
        <w:iCs/>
        <w:sz w:val="18"/>
        <w:szCs w:val="18"/>
      </w:rPr>
      <w:t xml:space="preserve">20XX IEEE International Conference on Smart Village Technologies (ICSVT)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80" w:before="0"/>
      <w:jc w:val="center"/>
    </w:pPr>
    <w:r>
      <w:rPr>
        <w:rFonts w:ascii="Times New Roman" w:cs="Times New Roman" w:eastAsia="Times New Roman" w:hAnsi="Times New Roman"/>
        <w:i/>
        <w:iCs/>
        <w:sz w:val="18"/>
        <w:szCs w:val="18"/>
      </w:rPr>
      <w:t xml:space="preserve">20XX IEEE International Conference on Smart Village Technologies (ICSVT)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2026-04-14T11:58:26.058Z</dcterms:created>
  <dcterms:modified xsi:type="dcterms:W3CDTF">2026-04-14T11:58:26.059Z</dcterms:modified>
</cp:coreProperties>
</file>

<file path=docProps/custom.xml><?xml version="1.0" encoding="utf-8"?>
<Properties xmlns="http://schemas.openxmlformats.org/officeDocument/2006/custom-properties" xmlns:vt="http://schemas.openxmlformats.org/officeDocument/2006/docPropsVTypes"/>
</file>