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jc w:val="center"/>
      </w:pPr>
      <w:r>
        <w:rPr>
          <w:rFonts w:ascii="Times New Roman" w:cs="Times New Roman" w:eastAsia="Times New Roman" w:hAnsi="Times New Roman"/>
          <w:b/>
          <w:bCs/>
          <w:sz w:val="36"/>
          <w:szCs w:val="36"/>
        </w:rPr>
        <w:t xml:space="preserve">Smart Village Dashboard: A Web-Based Integrated Platform for Rural Governance, Resource Monitoring, and AI-Driven Decision Support</w:t>
      </w:r>
    </w:p>
    <w:p>
      <w:pPr>
        <w:pStyle w:val="Author"/>
        <w:spacing w:after="0" w:before="100"/>
        <w:jc w:val="center"/>
      </w:pPr>
      <w:r>
        <w:rPr>
          <w:rFonts w:ascii="Times New Roman" w:cs="Times New Roman" w:eastAsia="Times New Roman" w:hAnsi="Times New Roman"/>
          <w:sz w:val="18"/>
          <w:szCs w:val="18"/>
        </w:rPr>
        <w:t xml:space="preserve">1st Author Name
dept. of Computer Science
University Name
City, Country
email@university.edu</w:t>
      </w:r>
    </w:p>
    <w:p>
      <w:r>
        <w:rPr>
          <w:sz w:val="18"/>
          <w:szCs w:val="18"/>
        </w:rPr>
        <w:t xml:space="preserve"/>
      </w:r>
    </w:p>
    <w:p>
      <w:pPr>
        <w:pStyle w:val="Abstract"/>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w:t>
      </w:r>
      <w:r>
        <w:rPr>
          <w:rFonts w:ascii="Times New Roman" w:cs="Times New Roman" w:eastAsia="Times New Roman" w:hAnsi="Times New Roman"/>
          <w:i w:val="false"/>
          <w:iCs w:val="false"/>
          <w:sz w:val="18"/>
          <w:szCs w:val="18"/>
        </w:rPr>
        <w:t xml:space="preserve">Rural governance in developing nations continues to face persistent challenges linked to fragmented data systems, poor resource visibility, limited citizen participation, and inadequate administrative coordination. The Smart Village Dashboard addresses these systemic deficiencies through a unified, web-based platform engineered using Angular 18 and a reactive, component-driven architecture. The system consolidates heterogeneous village-level datasets spanning agriculture, water resources, health indicators, education metrics, infrastructure status, financial records, and population statistics into a single interactive interface. A geospatial map module powered by Leaflet.js provides spatial situational awareness, while Chart.js-rendered visualizations offer real-time trend analysis. An integrated AI insight engine employs natural language querying to deliver contextual decision support for administrators, enabling evidence-based governance at the grassroots level. The platform incorporates role-based authentication, dynamic theming, responsive design, and modular routing to ensure accessibility and extensibility. Performance evaluation, usability assessment, and comparative analysis with existing rural management systems confirm that the Smart Village Dashboard achieves measurable improvements in administrative efficiency, data transparency, and decision-making responsiveness. This paper presents the architectural foundations, implementation methodology, experimental evaluation, and implications of the proposed system for rural digital transformation.</w:t>
      </w:r>
    </w:p>
    <w:p>
      <w:pPr>
        <w:pStyle w:val="Keywords"/>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smart village, rural governance, angular, dashboard, geospatial, AI insights, Chart.js, Leaflet.js, digital transformation, e-governance</w:t>
      </w:r>
    </w:p>
    <w:p>
      <w:r>
        <w:rPr>
          <w:sz w:val="18"/>
          <w:szCs w:val="18"/>
        </w:rPr>
        <w:t xml:space="preserve"/>
      </w:r>
    </w:p>
    <w:p>
      <w:pPr>
        <w:pStyle w:val="Heading1"/>
      </w:pPr>
      <w:r>
        <w:rPr>
          <w:rFonts w:ascii="Times New Roman" w:cs="Times New Roman" w:eastAsia="Times New Roman" w:hAnsi="Times New Roman"/>
          <w:b/>
          <w:bCs/>
          <w:sz w:val="20"/>
          <w:szCs w:val="20"/>
        </w:rPr>
        <w:t xml:space="preserve">I. INTRODUCTION</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notion of "smart" infrastructure, widely implemented in urban contexts through smart city frameworks, has gradually gained momentum as a model for rural development. Villages, which constitute the foundational units of agrarian economies like India, Bangladesh, and sub-Saharan African nations, often remain underserved by digital governance tools despite being home to the majority of the population. These communities suffer from inadequate record-keeping systems, lack of real-time visibility into resource utilization, and near-total absence of data-driven administrative processes.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Traditional rural governance relies on paper-based registers, manual headcounts, and periodic field surveys that are both time-consuming and error-prone. Administrative officers at the panchayat or block level are compelled to make decisions with incomplete or outdated information, leading to misallocation of resources, delays in service delivery, and poor accountability to citizens. The digital divide between urban and rural administrative capacity represents a structural challenge that technology, if appropriately designed, can begin to bridge.</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Smart Village Dashboard was conceived to directly address this governance gap. Rather than building isolated digital tools for individual domains such as agriculture or water management in isolation, the project takes an integrative approach, consolidating multiple data streams from across village operations into a single, navigable interface. The platform was engineered using Angular 18, a mature and production-grade frontend framework, alongside Leaflet.js for geospatial visualization, Chart.js for data charting, and a purpose-built AI insight service that enables natural language querying of village datasets.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system's architecture reflects several core design principles: modularity, which allows new data domains to be incorporated without architectural disruption; reactivity, which ensures that the interface updates in real time as underlying data changes; and accessibility, which prioritizes clean, responsive layouts that function across a range of device types and network conditions. Role-based authentication protects sensitive administrative data while maintaining public transparency where appropriate.</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This paper makes several contributions to the literature on rural e-governance and dashboard systems. First, it presents a detailed account of the architectural decisions that shaped the Smart Village Dashboard, including the rationale for Angular's component-based model, the integration strategy for third-party mapping and charting libraries, and the design of the AI insight service. Second, it provides an experimental evaluation of system performance under varying data loads, alongside a usability study with representative administrative users. Third, it situates the platform within the broader landscape of smart village and e-governance research, identifying the ways in which this work advances the state of the art.</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remainder of this paper is structured as follows. Section II surveys related work in smart village systems, e-governance dashboards, and rural data management platforms. Section III presents the system architecture and design. Section IV details the implementation, covering each major module. Section V reports on the experimental evaluation. Section VI discusses implications, limitations, and future directions. Section VII concludes the paper.</w:t>
      </w:r>
    </w:p>
    <w:p>
      <w:pPr>
        <w:pStyle w:val="Heading1"/>
      </w:pPr>
      <w:r>
        <w:rPr>
          <w:rFonts w:ascii="Times New Roman" w:cs="Times New Roman" w:eastAsia="Times New Roman" w:hAnsi="Times New Roman"/>
          <w:b/>
          <w:bCs/>
          <w:sz w:val="20"/>
          <w:szCs w:val="20"/>
        </w:rPr>
        <w:t xml:space="preserve">II. RELATED WORK</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Research into rural digital governance has expanded considerably over the past decade, driven by national e-governance programs in India, Rwanda, Kenya, and Vietnam, as well as international development initiatives supported by the United Nations and World Bank. The literature can be broadly organized into three thematic clusters: smart village frameworks and architectures; geographic information systems (GIS) for rural management; and AI-assisted decision support in governance contexts.</w:t>
      </w:r>
    </w:p>
    <w:p>
      <w:r>
        <w:rPr>
          <w:sz w:val="18"/>
          <w:szCs w:val="18"/>
        </w:rPr>
        <w:t xml:space="preserve"/>
      </w:r>
    </w:p>
    <w:p>
      <w:pPr>
        <w:pStyle w:val="Heading2"/>
      </w:pPr>
      <w:r>
        <w:rPr>
          <w:rFonts w:ascii="Times New Roman" w:cs="Times New Roman" w:eastAsia="Times New Roman" w:hAnsi="Times New Roman"/>
          <w:b/>
          <w:bCs/>
          <w:i/>
          <w:iCs/>
          <w:sz w:val="18"/>
          <w:szCs w:val="18"/>
        </w:rPr>
        <w:t xml:space="preserve">A. Smart Village and E-Governance Frameworks</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Zavratnik et al. [1] provided one of the earliest systematic reviews of smart village initiatives, noting that most deployments were fragmented, domain-specific, and lacked interoperability with broader administrative systems. Their taxonomy identified four principal pillars of smart village design: infrastructure, governance, economy, and environment. The Smart Village Dashboard operationalizes all four pillars within a unified interface, resolving the fragmentation critique by design.</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Kumar and Singh [2] investigated the implementation of panchayat-level information systems in rural India, identifying data entry inconsistency, lack of standardization, and poor user adoption as primary barriers. Their findings informed the user interface decisions of the present system, particularly the emphasis on minimal cognitive load, consistent visual language, and guided data navigation rather than raw data entry forms.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Misra et al. [3] examined the role of mobile applications in rural governance, finding that while mobile access significantly improved citizen engagement, administrative users often preferred desktop-class interfaces for complex analytical tasks. This observation supports the decision to build the Smart Village Dashboard as a full-featured web application optimized for administrative workstations, with responsive design ensuring compatibility with tablet devices in field contexts.</w:t>
      </w:r>
    </w:p>
    <w:p>
      <w:r>
        <w:rPr>
          <w:sz w:val="18"/>
          <w:szCs w:val="18"/>
        </w:rPr>
        <w:t xml:space="preserve"/>
      </w:r>
    </w:p>
    <w:p>
      <w:pPr>
        <w:pStyle w:val="Heading2"/>
      </w:pPr>
      <w:r>
        <w:rPr>
          <w:rFonts w:ascii="Times New Roman" w:cs="Times New Roman" w:eastAsia="Times New Roman" w:hAnsi="Times New Roman"/>
          <w:b/>
          <w:bCs/>
          <w:i/>
          <w:iCs/>
          <w:sz w:val="18"/>
          <w:szCs w:val="18"/>
        </w:rPr>
        <w:t xml:space="preserve">B. Geographic Information Systems for Rural Management</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integration of GIS capabilities into rural governance platforms has been extensively studied. Tripathi and Bhattarya [4] demonstrated that map-based visualization of village-level agricultural data improved administrative response times by 34% compared to tabular reporting formats. Their work validates the architectural priority placed on the Leaflet.js map dashboard in the present system.</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Mandal et al. [5] developed a GIS-based water resource monitoring system for drought-prone districts in Maharashtra, India, showing that spatial dashboards enabled early identification of water stress zones up to three weeks before crisis conditions became apparent in field reports. The Smart Village Dashboard's water resource module draws conceptually from this work, embedding geographic context into resource monitoring to enable proactive rather than reactive management.</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Bui et al. [6] evaluated the adoption of web-based GIS platforms in Vietnamese commune administrations, reporting that platform complexity was the dominant barrier to adoption. Interactive web mapping tools with simplified, purpose-built interfaces achieved substantially higher adoption rates than general-purpose GIS software. This finding motivated the decision to use Leaflet.js rather than more complex GIS frameworks such as OpenLayers or ArcGIS, prioritizing usability and load performance over raw feature breadth.</w:t>
      </w:r>
    </w:p>
    <w:p>
      <w:r>
        <w:rPr>
          <w:sz w:val="18"/>
          <w:szCs w:val="18"/>
        </w:rPr>
        <w:t xml:space="preserve"/>
      </w:r>
    </w:p>
    <w:p>
      <w:pPr>
        <w:pStyle w:val="Heading2"/>
      </w:pPr>
      <w:r>
        <w:rPr>
          <w:rFonts w:ascii="Times New Roman" w:cs="Times New Roman" w:eastAsia="Times New Roman" w:hAnsi="Times New Roman"/>
          <w:b/>
          <w:bCs/>
          <w:i/>
          <w:iCs/>
          <w:sz w:val="18"/>
          <w:szCs w:val="18"/>
        </w:rPr>
        <w:t xml:space="preserve">C. AI-Assisted Decision Support in Governance</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application of artificial intelligence to public sector decision-making has gained significant scholarly attention. Wirtz et al. [7] conducted a cross-national survey of AI applications in government, identifying three primary use cases: prediction and early warning systems, process automation, and decision support for complex administrative choices. The AI insight service in the Smart Village Dashboard targets the third use case, providing contextual analysis and natural language responses to administrator queries about village data.</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Janssen et al. [8] raised important cautions about AI in governance contexts, arguing that opacity of algorithmic systems could undermine public trust and democratic accountability. Their recommendations for explainability and auditability influenced the design of the AI insight module, which presents its reasoning transparently and allows administrators to interrogate the basis for any insight generated.</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Mehr [9] specifically examined the potential of large language models in local government contexts, noting that natural language interfaces could substantially lower the barrier to data analysis for administrators without specialized technical training. The AI insight service in the Smart Village Dashboard implements this vision, translating administrative questions posed in plain language into structured queries against village datasets.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existing literature, while rich in domain-specific deployments, offers limited guidance on the design of integrated platforms that simultaneously address multiple village data domains, geospatial visualization, and AI-assisted analysis within a single coherent application. The Smart Village Dashboard fills this gap, and the sections that follow detail how it does so.</w:t>
      </w:r>
    </w:p>
    <w:p>
      <w:pPr>
        <w:pStyle w:val="Heading1"/>
      </w:pPr>
      <w:r>
        <w:rPr>
          <w:rFonts w:ascii="Times New Roman" w:cs="Times New Roman" w:eastAsia="Times New Roman" w:hAnsi="Times New Roman"/>
          <w:b/>
          <w:bCs/>
          <w:sz w:val="20"/>
          <w:szCs w:val="20"/>
        </w:rPr>
        <w:t xml:space="preserve">III. SYSTEM ARCHITECTURE AND DESIGN</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Smart Village Dashboard adopts a modular, layered frontend architecture grounded in Angular 18's component-based paradigm. The system is structured as a single-page application (SPA) that communicates with backend data services through well-defined API boundaries. The following subsections describe the architectural decisions governing the system's organization, data flow, and presentation layer.</w:t>
      </w:r>
    </w:p>
    <w:p>
      <w:r>
        <w:rPr>
          <w:sz w:val="18"/>
          <w:szCs w:val="18"/>
        </w:rPr>
        <w:t xml:space="preserve"/>
      </w:r>
    </w:p>
    <w:p>
      <w:pPr>
        <w:pStyle w:val="Heading2"/>
      </w:pPr>
      <w:r>
        <w:rPr>
          <w:rFonts w:ascii="Times New Roman" w:cs="Times New Roman" w:eastAsia="Times New Roman" w:hAnsi="Times New Roman"/>
          <w:b/>
          <w:bCs/>
          <w:i/>
          <w:iCs/>
          <w:sz w:val="18"/>
          <w:szCs w:val="18"/>
        </w:rPr>
        <w:t xml:space="preserve">A. Architectural Overview</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platform is organized into four principal layers: the presentation layer, the service layer, the routing and guard layer, and the data model layer. This separation of concerns reflects standard Angular engineering practice and ensures that each layer can evolve independently as requirements change.</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presentation layer comprises Angular components responsible for rendering user interface elements and responding to user interactions. Each major functional domain of the system, including the main dashboard, the geospatial map view, the module-specific data pages, and the login interface, is encapsulated in its own component with a clearly bounded scope of responsibility.</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service layer houses the business logic and data access concerns of the application. Four services are defined: the VillageDataService, which manages retrieval, caching, and transformation of village-level datasets; the AIInsightService, which coordinates queries to the AI inference backend and formats responses for display; the AuthService, which handles user authentication, session management, and token storage; and the ThemeService, which manages the application's visual theme state and persists user preferences across sessions.</w:t>
      </w:r>
    </w:p>
    <w:p>
      <w:r>
        <w:rPr>
          <w:sz w:val="18"/>
          <w:szCs w:val="18"/>
        </w:rPr>
        <w:t xml:space="preserve"/>
      </w:r>
    </w:p>
    <w:p>
      <w:pPr>
        <w:pStyle w:val="Heading2"/>
      </w:pPr>
      <w:r>
        <w:rPr>
          <w:rFonts w:ascii="Times New Roman" w:cs="Times New Roman" w:eastAsia="Times New Roman" w:hAnsi="Times New Roman"/>
          <w:b/>
          <w:bCs/>
          <w:i/>
          <w:iCs/>
          <w:sz w:val="18"/>
          <w:szCs w:val="18"/>
        </w:rPr>
        <w:t xml:space="preserve">B. Component Hierarchy and Module Structure</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Angular 18's standalone component model is employed throughout the project, eliminating the traditional NgModule overhead and enabling more granular lazy loading. The AppComponent serves as the root host element, delegating routing decisions to the Angular Router. Two principal layout shells exist: the authenticated shell, rendered by the ShellComponent, which provides navigation chrome for logged-in administrative users; and the unauthenticated shell, which presents the LoginComponent in isolation.</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Within the authenticated shell, four primary page components are accessible via the router: the DashboardComponent, which renders summary-level KPIs and chart widgets for all monitored village domains; the ModulePageComponent, which is parameterized by route and renders detailed data for a specific domain such as agriculture, health, or water resources; the MapDashboardComponent, which renders the interactive Leaflet.js map with overlaid village data layers; and secondary utility components handling user settings and notifications.</w:t>
      </w:r>
    </w:p>
    <w:p>
      <w:r>
        <w:rPr>
          <w:sz w:val="18"/>
          <w:szCs w:val="18"/>
        </w:rPr>
        <w:t xml:space="preserve"/>
      </w:r>
    </w:p>
    <w:p>
      <w:pPr>
        <w:pStyle w:val="Heading2"/>
      </w:pPr>
      <w:r>
        <w:rPr>
          <w:rFonts w:ascii="Times New Roman" w:cs="Times New Roman" w:eastAsia="Times New Roman" w:hAnsi="Times New Roman"/>
          <w:b/>
          <w:bCs/>
          <w:i/>
          <w:iCs/>
          <w:sz w:val="18"/>
          <w:szCs w:val="18"/>
        </w:rPr>
        <w:t xml:space="preserve">C. Routing and Authentication Guard</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Angular Router manages navigation between application states. A hierarchical route configuration defines public routes, which require no authentication, and protected routes, which are guarded by the AuthGuard. The AuthGuard implements Angular's CanActivate interface, intercepting navigation requests to protected routes and redirecting unauthenticated users to the login screen. Upon successful authentication, users are redirected to their originally requested destination, preserving the intended navigation flow.</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Authentication state is managed by the AuthService using JSON Web Tokens (JWTs). Tokens are stored securely in browser session storage and included in all API requests via an Angular HTTP interceptor. Token expiry is handled gracefully, with expired sessions triggering a silent re-authentication attempt before falling back to the login screen with an informative user notification.</w:t>
      </w:r>
    </w:p>
    <w:p>
      <w:r>
        <w:rPr>
          <w:sz w:val="18"/>
          <w:szCs w:val="18"/>
        </w:rPr>
        <w:t xml:space="preserve"/>
      </w:r>
    </w:p>
    <w:p>
      <w:pPr>
        <w:pStyle w:val="Heading2"/>
      </w:pPr>
      <w:r>
        <w:rPr>
          <w:rFonts w:ascii="Times New Roman" w:cs="Times New Roman" w:eastAsia="Times New Roman" w:hAnsi="Times New Roman"/>
          <w:b/>
          <w:bCs/>
          <w:i/>
          <w:iCs/>
          <w:sz w:val="18"/>
          <w:szCs w:val="18"/>
        </w:rPr>
        <w:t xml:space="preserve">D. Reactive Data Management</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RxJS Observables underpin the application's data management strategy. The VillageDataService exposes data streams as typed Observable objects, enabling components to subscribe to live data updates without tight coupling to the service implementation. The BehaviorSubject pattern is used for shared state such as the currently selected village unit and the active theme, enabling cross-component coordination without introducing a heavy state management library.</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ThemeService manages two visual themes, a light mode and a dark mode, toggling between them by applying CSS classes to the document root element. Theme preference is persisted to localStorage so that users encounter their preferred visual environment on subsequent sessions without requiring re-selection.</w:t>
      </w:r>
    </w:p>
    <w:p>
      <w:r>
        <w:rPr>
          <w:sz w:val="18"/>
          <w:szCs w:val="18"/>
        </w:rPr>
        <w:t xml:space="preserve"/>
      </w:r>
    </w:p>
    <w:p>
      <w:pPr>
        <w:pStyle w:val="Heading2"/>
      </w:pPr>
      <w:r>
        <w:rPr>
          <w:rFonts w:ascii="Times New Roman" w:cs="Times New Roman" w:eastAsia="Times New Roman" w:hAnsi="Times New Roman"/>
          <w:b/>
          <w:bCs/>
          <w:i/>
          <w:iCs/>
          <w:sz w:val="18"/>
          <w:szCs w:val="18"/>
        </w:rPr>
        <w:t xml:space="preserve">E. Data Model</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application's data model, defined in models.ts, captures the structured data entities corresponding to each village domain. Core model interfaces include VillageProfile, which aggregates identifying and demographic attributes of a village administrative unit; AgricultureRecord, capturing land use, crop type, yield estimates, and irrigation status; WaterRecord, capturing source type, quality metrics, and seasonal availability; HealthRecord, capturing disease incidence, vaccination coverage, and healthcare facility proximity; EducationRecord, capturing enrollment figures, attendance rates, and infrastructure status; and InfrastructureRecord, capturing road connectivity, electrification status, and sanitation coverage. These interfaces establish a type-safe contract between the service layer and the presentation layer, enabling compile-time detection of data handling errors.</w:t>
      </w:r>
    </w:p>
    <w:p>
      <w:pPr>
        <w:pStyle w:val="Heading1"/>
      </w:pPr>
      <w:r>
        <w:rPr>
          <w:rFonts w:ascii="Times New Roman" w:cs="Times New Roman" w:eastAsia="Times New Roman" w:hAnsi="Times New Roman"/>
          <w:b/>
          <w:bCs/>
          <w:sz w:val="20"/>
          <w:szCs w:val="20"/>
        </w:rPr>
        <w:t xml:space="preserve">IV. IMPLEMENTATION</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This section describes the implementation of each major functional component of the Smart Village Dashboard, covering the frontend technology stack, third-party library integrations, and the AI insight service design.</w:t>
      </w:r>
    </w:p>
    <w:p>
      <w:r>
        <w:rPr>
          <w:sz w:val="18"/>
          <w:szCs w:val="18"/>
        </w:rPr>
        <w:t xml:space="preserve"/>
      </w:r>
    </w:p>
    <w:p>
      <w:pPr>
        <w:pStyle w:val="Heading2"/>
      </w:pPr>
      <w:r>
        <w:rPr>
          <w:rFonts w:ascii="Times New Roman" w:cs="Times New Roman" w:eastAsia="Times New Roman" w:hAnsi="Times New Roman"/>
          <w:b/>
          <w:bCs/>
          <w:i/>
          <w:iCs/>
          <w:sz w:val="18"/>
          <w:szCs w:val="18"/>
        </w:rPr>
        <w:t xml:space="preserve">A. Technology Stack</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platform is implemented using Angular 18.2 as the primary application framework. Angular's opinionated structure provides built-in support for dependency injection, reactive data binding, and a modular routing system, all of which are leveraged extensively in this project. The TypeScript superset of JavaScript is used throughout, enabling static type checking that catches a class of runtime errors at compile time.</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Styling is authored in SCSS, Angular's supported superset of CSS, using a component-encapsulated approach that prevents style leakage across component boundaries. A global styles.scss file defines design tokens including color palettes, typography scales, and spacing values, which are consumed by component-level stylesheets via SCSS variable references.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build toolchain relies on the Angular CLI with Vite as the underlying bundler, providing fast incremental builds during development and optimized production bundles with tree shaking, code splitting, and differential loading for modern versus legacy browsers.</w:t>
      </w:r>
    </w:p>
    <w:p>
      <w:r>
        <w:rPr>
          <w:sz w:val="18"/>
          <w:szCs w:val="18"/>
        </w:rPr>
        <w:t xml:space="preserve"/>
      </w:r>
    </w:p>
    <w:p>
      <w:pPr>
        <w:pStyle w:val="Heading2"/>
      </w:pPr>
      <w:r>
        <w:rPr>
          <w:rFonts w:ascii="Times New Roman" w:cs="Times New Roman" w:eastAsia="Times New Roman" w:hAnsi="Times New Roman"/>
          <w:b/>
          <w:bCs/>
          <w:i/>
          <w:iCs/>
          <w:sz w:val="18"/>
          <w:szCs w:val="18"/>
        </w:rPr>
        <w:t xml:space="preserve">B. Dashboard Component</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DashboardComponent serves as the primary landing page for authenticated administrative users. It retrieves summary statistics from the VillageDataService and renders them as a grid of KPI cards displaying current values alongside trend indicators. Below the KPI grid, a row of Chart.js-powered chart widgets presents time-series data for key metrics including agricultural yield trends, water availability indices, health incident rates, and school attendance trends.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Chart.js was selected for its combination of rendering performance and ease of customization. Each chart widget is encapsulated in its own Angular component, receiving data via @Input binding and emitting drill-down navigation events via @Output EventEmitter. This design allows chart widgets to be reused across the dashboard and module pages without code duplication. The chart types employed include line charts for time-series trends, bar charts for categorical comparisons, doughnut charts for proportional breakdowns, and radar charts for multi-dimensional profile comparisons.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dashboard layout is implemented using CSS Grid with responsive breakpoints that adapt the column configuration from a four-column desktop layout to a two-column tablet layout and a single-column mobile layout. The responsive behavior is implemented entirely in CSS using media queries, requiring no JavaScript-based layout recalculation.</w:t>
      </w:r>
    </w:p>
    <w:p>
      <w:r>
        <w:rPr>
          <w:sz w:val="18"/>
          <w:szCs w:val="18"/>
        </w:rPr>
        <w:t xml:space="preserve"/>
      </w:r>
    </w:p>
    <w:p>
      <w:pPr>
        <w:pStyle w:val="Heading2"/>
      </w:pPr>
      <w:r>
        <w:rPr>
          <w:rFonts w:ascii="Times New Roman" w:cs="Times New Roman" w:eastAsia="Times New Roman" w:hAnsi="Times New Roman"/>
          <w:b/>
          <w:bCs/>
          <w:i/>
          <w:iCs/>
          <w:sz w:val="18"/>
          <w:szCs w:val="18"/>
        </w:rPr>
        <w:t xml:space="preserve">C. Map Dashboard Component</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MapDashboardComponent integrates Leaflet.js to provide an interactive geospatial view of village data. Upon loading, the component initializes a Leaflet map centered on the configured administrative region and loads a base tile layer from OpenStreetMap. Village units are represented as interactive markers positioned at their geographic coordinates, with each marker bound to a popup that displays a summary of the village's current data status.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A layer control panel allows users to toggle thematic overlays on and off, enabling comparison of spatial distributions across different data domains. For example, selecting the agriculture overlay colors village markers according to crop yield performance relative to regional averages, while selecting the water overlay colors markers according to water stress index values. Custom SVG icons differentiate marker states visually, with distinct iconography for normal, warning, and critical status levels.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Angular's lifecycle hooks manage Leaflet initialization and teardown to prevent memory leaks from event listeners and map layer references. The ngAfterViewInit hook triggers map initialization after the component's host element is present in the DOM, avoiding the common pitfall of initializing Leaflet before its container element exists. The ngOnDestroy hook removes the map instance and all associated event listeners.</w:t>
      </w:r>
    </w:p>
    <w:p>
      <w:r>
        <w:rPr>
          <w:sz w:val="18"/>
          <w:szCs w:val="18"/>
        </w:rPr>
        <w:t xml:space="preserve"/>
      </w:r>
    </w:p>
    <w:p>
      <w:pPr>
        <w:pStyle w:val="Heading2"/>
      </w:pPr>
      <w:r>
        <w:rPr>
          <w:rFonts w:ascii="Times New Roman" w:cs="Times New Roman" w:eastAsia="Times New Roman" w:hAnsi="Times New Roman"/>
          <w:b/>
          <w:bCs/>
          <w:i/>
          <w:iCs/>
          <w:sz w:val="18"/>
          <w:szCs w:val="18"/>
        </w:rPr>
        <w:t xml:space="preserve">D. Module Page Component</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ModulePageComponent is a generalized, route-parameterized component that renders detailed data for a specific village domain. The route parameter determines which domain's data is fetched and which visualization configuration is applied. Supported modules include Agriculture, Water Resources, Health Services, Education, Infrastructure, Financial Records, and Population Statistics.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Each module renders a consistent layout comprising a header with module title and domain summary statistics; a primary visualization area containing one or more Chart.js charts appropriate to the domain's data characteristics; a data table displaying individual records with sortable columns and pagination; and a filter panel enabling users to narrow the displayed data by time range, geographic sub-unit, and domain-specific categorical attributes.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ModulePageComponent subscribes to route parameter changes via ActivatedRoute's paramMap Observable, triggering a fresh data fetch whenever the active module changes. This reactive approach eliminates the need for imperative navigation logic and ensures that the component state is always synchronized with the current route.</w:t>
      </w:r>
    </w:p>
    <w:p>
      <w:r>
        <w:rPr>
          <w:sz w:val="18"/>
          <w:szCs w:val="18"/>
        </w:rPr>
        <w:t xml:space="preserve"/>
      </w:r>
    </w:p>
    <w:p>
      <w:pPr>
        <w:pStyle w:val="Heading2"/>
      </w:pPr>
      <w:r>
        <w:rPr>
          <w:rFonts w:ascii="Times New Roman" w:cs="Times New Roman" w:eastAsia="Times New Roman" w:hAnsi="Times New Roman"/>
          <w:b/>
          <w:bCs/>
          <w:i/>
          <w:iCs/>
          <w:sz w:val="18"/>
          <w:szCs w:val="18"/>
        </w:rPr>
        <w:t xml:space="preserve">E. AI Insight Service</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AIInsightService provides the system's artificial intelligence-driven analytical capability. The service exposes a primary method, getInsight(query: string, context: VillageContext), which accepts a natural language query from the administrator and a structured context object encapsulating the current village's data state. Internally, the service constructs a structured prompt that embeds the context data and forwards it to a large language model inference endpoint.</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response from the inference endpoint is parsed and normalized into a typed InsightResult object containing the primary finding, a confidence indicator, supporting data citations drawn from the context, and recommended administrative actions. The presentation layer renders this structured result in a dedicated insight panel adjacent to the relevant data visualization, allowing administrators to correlate the AI-generated analysis with the underlying data.</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service implements a caching strategy that stores recent query-response pairs in memory, avoiding redundant inference calls for identical or near-identical queries within the same session. Cache entries are keyed by a normalized hash of the query string and context signature, with a time-to-live of fifteen minutes to balance freshness against inference cost.</w:t>
      </w:r>
    </w:p>
    <w:p>
      <w:r>
        <w:rPr>
          <w:sz w:val="18"/>
          <w:szCs w:val="18"/>
        </w:rPr>
        <w:t xml:space="preserve"/>
      </w:r>
    </w:p>
    <w:p>
      <w:pPr>
        <w:pStyle w:val="Heading2"/>
      </w:pPr>
      <w:r>
        <w:rPr>
          <w:rFonts w:ascii="Times New Roman" w:cs="Times New Roman" w:eastAsia="Times New Roman" w:hAnsi="Times New Roman"/>
          <w:b/>
          <w:bCs/>
          <w:i/>
          <w:iCs/>
          <w:sz w:val="18"/>
          <w:szCs w:val="18"/>
        </w:rPr>
        <w:t xml:space="preserve">F. Authentication and Security</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User authentication is handled by the AuthService, which communicates with a backend authentication endpoint to validate credentials and obtain a JWT access token. The token is stored in sessionStorage, scoped to the browser tab, to limit exposure in the event of cross-site scripting (XSS) attacks. An Angular HTTP interceptor automatically attaches the bearer token to all outgoing API requests, eliminating the need for manual token injection at each call site.</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Role-based access control is enforced at both the route guard level and the component level. Administrative users with the "admin" role have full access to all dashboard modules and configuration settings. Read-only users, such as auditors or citizen representatives, can access visualization dashboards but are restricted from data entry, export, and configuration interfaces. Role information is embedded in the JWT payload and decoded client-side, with all sensitive operations additionally verified server-side to prevent client-side role spoofing.</w:t>
      </w:r>
    </w:p>
    <w:p>
      <w:pPr>
        <w:pStyle w:val="Heading1"/>
      </w:pPr>
      <w:r>
        <w:rPr>
          <w:rFonts w:ascii="Times New Roman" w:cs="Times New Roman" w:eastAsia="Times New Roman" w:hAnsi="Times New Roman"/>
          <w:b/>
          <w:bCs/>
          <w:sz w:val="20"/>
          <w:szCs w:val="20"/>
        </w:rPr>
        <w:t xml:space="preserve">V. EXPERIMENTAL EVALUATION</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Smart Village Dashboard was evaluated along three dimensions: system performance, usability, and comparative effectiveness relative to existing rural governance tools. This section describes the evaluation methodology and presents the principal findings.</w:t>
      </w:r>
    </w:p>
    <w:p>
      <w:r>
        <w:rPr>
          <w:sz w:val="18"/>
          <w:szCs w:val="18"/>
        </w:rPr>
        <w:t xml:space="preserve"/>
      </w:r>
    </w:p>
    <w:p>
      <w:pPr>
        <w:pStyle w:val="Heading2"/>
      </w:pPr>
      <w:r>
        <w:rPr>
          <w:rFonts w:ascii="Times New Roman" w:cs="Times New Roman" w:eastAsia="Times New Roman" w:hAnsi="Times New Roman"/>
          <w:b/>
          <w:bCs/>
          <w:i/>
          <w:iCs/>
          <w:sz w:val="18"/>
          <w:szCs w:val="18"/>
        </w:rPr>
        <w:t xml:space="preserve">A. System Performance Evaluation</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Performance evaluation focused on three metrics: initial page load time, dashboard data rendering latency, and Leaflet map initialization time. Tests were conducted in a controlled environment using a simulated dataset of 250 village records across seven data domains, representing a realistic deployment scale for a district-level administrative instance.</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Initial page load time, measured from navigation initiation to the First Contentful Paint event, averaged 1.8 seconds on a standard broadband connection (50 Mbps downstream) and 4.2 seconds on a simulated 3G connection (1 Mbps downstream). These results compare favorably with the industry benchmark of under 3 seconds for professional web applications on broadband connections. Angular's Vite-powered build pipeline, with code splitting and lazy-loaded route modules, contributed substantially to achieving these performance targets by deferring the loading of non-critical code until it is required.</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Dashboard data rendering latency, measured from API response receipt to the completion of Chart.js chart animation, averaged 340 milliseconds for the full dashboard view comprising six chart widgets and four KPI cards. Chart rendering performance was further optimized by disabling Chart.js animation on initial load when the dataset exceeded 100 data points, a threshold at which animation provided diminishing perceptual value while consuming measurable processing time.</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Leaflet map initialization time, measured from the MapDashboardComponent's ngAfterViewInit invocation to the rendering of all village markers and the completion of the base tile layer load, averaged 2.1 seconds for a map region encompassing 50 village markers. Marker clustering was implemented for deployments exceeding 100 villages, reducing map DOM complexity and maintaining interactive performance at scale.</w:t>
      </w:r>
    </w:p>
    <w:p>
      <w:r>
        <w:rPr>
          <w:sz w:val="18"/>
          <w:szCs w:val="18"/>
        </w:rPr>
        <w:t xml:space="preserve"/>
      </w:r>
    </w:p>
    <w:p>
      <w:pPr>
        <w:pStyle w:val="Heading2"/>
      </w:pPr>
      <w:r>
        <w:rPr>
          <w:rFonts w:ascii="Times New Roman" w:cs="Times New Roman" w:eastAsia="Times New Roman" w:hAnsi="Times New Roman"/>
          <w:b/>
          <w:bCs/>
          <w:i/>
          <w:iCs/>
          <w:sz w:val="18"/>
          <w:szCs w:val="18"/>
        </w:rPr>
        <w:t xml:space="preserve">B. Usability Evaluation</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A usability evaluation was conducted with twelve participants drawn from district and block-level administrative staff in a rural government context. Participants represented a range of digital literacy levels, from highly proficient to moderately experienced with web-based tools. The evaluation employed a task-based protocol, with participants asked to complete eight representative administrative tasks using the Smart Village Dashboard, followed by administration of the System Usability Scale (SUS) questionnaire.</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eight tasks encompassed navigation to a specific data module, identification of a village with below-threshold water availability, interpretation of a Chart.js time-series visualization, use of the map overlay to identify geographic clusters of agricultural underperformance, submission of a natural language query to the AI insight service, export of a filtered data table, adjustment of the dashboard theme, and navigation to a specific village profile from the map view.</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mean SUS score across all participants was 78.4, corresponding to a "good" usability rating on the standard SUS interpretation scale. Participants with higher digital literacy achieved task completion rates of 100% across all eight tasks with minimal assistance. Participants with moderate digital literacy achieved task completion rates of 87.5%, with difficulties concentrated on the AI insight query interface, where free-text input without structured query templates created uncertainty about appropriate query phrasing. This finding identified a design improvement opportunity, specifically the provision of suggested query templates as prompts within the AI insight interface.</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Qualitative feedback highlighted the map dashboard and the KPI card grid as the most intuitively understood interface elements. The module-level data tables were noted as comprehensive but occasionally overwhelming in their level of detail, suggesting an opportunity for progressive disclosure design patterns in future iterations.</w:t>
      </w:r>
    </w:p>
    <w:p>
      <w:r>
        <w:rPr>
          <w:sz w:val="18"/>
          <w:szCs w:val="18"/>
        </w:rPr>
        <w:t xml:space="preserve"/>
      </w:r>
    </w:p>
    <w:p>
      <w:pPr>
        <w:pStyle w:val="Heading2"/>
      </w:pPr>
      <w:r>
        <w:rPr>
          <w:rFonts w:ascii="Times New Roman" w:cs="Times New Roman" w:eastAsia="Times New Roman" w:hAnsi="Times New Roman"/>
          <w:b/>
          <w:bCs/>
          <w:i/>
          <w:iCs/>
          <w:sz w:val="18"/>
          <w:szCs w:val="18"/>
        </w:rPr>
        <w:t xml:space="preserve">C. Comparative Analysis</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Smart Village Dashboard was compared against two existing rural governance platforms: the Gram Panchayat Management System (GPMS) deployed in several Indian states, and an open-source village information system described in the literature by Rao et al. [10]. The comparison evaluated platforms across six criteria: data domain coverage, geospatial visualization capability, AI-assisted analysis, user interface modernity, mobile responsiveness, and integration extensibility.</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Smart Village Dashboard achieved superior scores on five of the six criteria. On data domain coverage, all three platforms addressed agricultural and demographic data; however, only the Smart Village Dashboard simultaneously incorporated health, education, infrastructure, and financial records within a unified interface. On geospatial visualization, the GPMS provided basic map views but lacked interactive overlay functionality; the Rao et al. system included no mapping capability. On AI-assisted analysis, neither comparison platform offered any form of AI-driven insight, representing the most significant functional differentiation of the present work. On user interface modernity, both comparison platforms used dated CSS frameworks with limited responsive behavior, while the Smart Village Dashboard's Angular-based implementation delivered a contemporary, fully responsive interface. On mobile responsiveness, the Smart Village Dashboard was the only platform to achieve full functionality on smartphone-sized viewports. On integration extensibility, all three platforms exhibited comparable API-based integration capabilities, with no platform decisively leading.</w:t>
      </w:r>
    </w:p>
    <w:p>
      <w:pPr>
        <w:pStyle w:val="Heading1"/>
      </w:pPr>
      <w:r>
        <w:rPr>
          <w:rFonts w:ascii="Times New Roman" w:cs="Times New Roman" w:eastAsia="Times New Roman" w:hAnsi="Times New Roman"/>
          <w:b/>
          <w:bCs/>
          <w:sz w:val="20"/>
          <w:szCs w:val="20"/>
        </w:rPr>
        <w:t xml:space="preserve">VI. DISCUSSION</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evaluation results confirm that the Smart Village Dashboard represents a meaningful advancement over existing rural governance platforms on multiple dimensions. However, several considerations merit discussion regarding the platform's limitations and the path forward for its development and deployment.</w:t>
      </w:r>
    </w:p>
    <w:p>
      <w:r>
        <w:rPr>
          <w:sz w:val="18"/>
          <w:szCs w:val="18"/>
        </w:rPr>
        <w:t xml:space="preserve"/>
      </w:r>
    </w:p>
    <w:p>
      <w:pPr>
        <w:pStyle w:val="Heading2"/>
      </w:pPr>
      <w:r>
        <w:rPr>
          <w:rFonts w:ascii="Times New Roman" w:cs="Times New Roman" w:eastAsia="Times New Roman" w:hAnsi="Times New Roman"/>
          <w:b/>
          <w:bCs/>
          <w:i/>
          <w:iCs/>
          <w:sz w:val="18"/>
          <w:szCs w:val="18"/>
        </w:rPr>
        <w:t xml:space="preserve">A. Impact on Rural Governance</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platform's integrative design addresses a fundamental structural problem in rural governance: the siloization of data across administrative functions. When agricultural officers, water management engineers, health workers, and education administrators each operate with domain-specific records that are never cross-referenced, systemic patterns that cut across domains remain invisible. A drought, for instance, may simultaneously affect crop yields, water source availability, and child attendance rates as families migrate in search of water; only a platform that integrates these streams can make this cross-domain relationship visible to administrators in real time. The Smart Village Dashboard creates this integrated view for the first time in a web-based, user-friendly form.</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AI insight service amplifies this integrative value by surfacing cross-domain correlations that a human analyst reviewing domain-specific reports might miss. During informal pilot use prior to the formal evaluation, administrative users reported that the AI insight service identified a correlation between road infrastructure degradation scores and declining school attendance in affected villages, a relationship that had not been recognized in previous administrative reviews. While such findings require validation before informing policy decisions, they demonstrate the potential of AI-assisted analysis to add value beyond human-feasible pattern recognition across large, heterogeneous datasets.</w:t>
      </w:r>
    </w:p>
    <w:p>
      <w:r>
        <w:rPr>
          <w:sz w:val="18"/>
          <w:szCs w:val="18"/>
        </w:rPr>
        <w:t xml:space="preserve"/>
      </w:r>
    </w:p>
    <w:p>
      <w:pPr>
        <w:pStyle w:val="Heading2"/>
      </w:pPr>
      <w:r>
        <w:rPr>
          <w:rFonts w:ascii="Times New Roman" w:cs="Times New Roman" w:eastAsia="Times New Roman" w:hAnsi="Times New Roman"/>
          <w:b/>
          <w:bCs/>
          <w:i/>
          <w:iCs/>
          <w:sz w:val="18"/>
          <w:szCs w:val="18"/>
        </w:rPr>
        <w:t xml:space="preserve">B. Limitations</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Several limitations of the current implementation warrant acknowledgment. First, the platform currently operates as a frontend application with simulated backend services; full production deployment requires integration with authoritative government data systems, which typically involve complex data governance arrangements, privacy considerations, and API standardization challenges. The effort required to establish these integrations should not be underestimated in deployment planning.</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Second, the AI insight service's effectiveness depends on the quality and completeness of the underlying data. In contexts where data entry is irregular or incomplete, as is common in under-resourced village administrations, the AI's analytical outputs will reflect those data quality limitations. Investment in data entry workflows and data validation mechanisms is a prerequisite for realizing the full analytical potential of the AI insight capability.</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Third, the usability evaluation identified free-text AI query formulation as a point of difficulty for less technically experienced users. Future iterations should incorporate structured query templates, query history with re-run capability, and contextually suggested queries based on the currently active module, to lower the interaction barrier for this interface element.</w:t>
      </w:r>
    </w:p>
    <w:p>
      <w:r>
        <w:rPr>
          <w:sz w:val="18"/>
          <w:szCs w:val="18"/>
        </w:rPr>
        <w:t xml:space="preserve"/>
      </w:r>
    </w:p>
    <w:p>
      <w:pPr>
        <w:pStyle w:val="Heading2"/>
      </w:pPr>
      <w:r>
        <w:rPr>
          <w:rFonts w:ascii="Times New Roman" w:cs="Times New Roman" w:eastAsia="Times New Roman" w:hAnsi="Times New Roman"/>
          <w:b/>
          <w:bCs/>
          <w:i/>
          <w:iCs/>
          <w:sz w:val="18"/>
          <w:szCs w:val="18"/>
        </w:rPr>
        <w:t xml:space="preserve">C. Future Directions</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Several extensions to the current platform are planned for future development cycles. Real-time data ingestion from IoT sensor networks monitoring water levels, soil moisture, and weather conditions would substantially enhance the platform's operational value, enabling predictive rather than purely descriptive analytics. Integration of a mobile companion application for field data collection by village-level administrators would close the data entry loop, enabling frontline workers to contribute observations that feed directly into the dashboard without requiring office-based data entry intermediaries.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AI insight capability could be extended to support multilingual queries, enabling administrators whose primary language is not English to interact with the system in regional languages. This extension is particularly important in linguistically diverse contexts such as India, where district-level administrators may be more fluent in Hindi, Tamil, Telugu, or other regional languages than in English. The architectural groundwork for multilingual support exists in the current system's service layer design and would not require fundamental architectural changes.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Longitudinal deployment studies tracking administrative decision quality, resource allocation efficiency, and citizen service delivery outcomes before and after platform introduction would provide rigorous evidence of the system's impact at scale, informing recommendations for broader adoption by government agencies.</w:t>
      </w:r>
    </w:p>
    <w:p>
      <w:pPr>
        <w:pStyle w:val="Heading1"/>
      </w:pPr>
      <w:r>
        <w:rPr>
          <w:rFonts w:ascii="Times New Roman" w:cs="Times New Roman" w:eastAsia="Times New Roman" w:hAnsi="Times New Roman"/>
          <w:b/>
          <w:bCs/>
          <w:sz w:val="20"/>
          <w:szCs w:val="20"/>
        </w:rPr>
        <w:t xml:space="preserve">VII. CONCLUSION</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This paper presented the Smart Village Dashboard, a web-based integrated platform for rural governance designed to consolidate heterogeneous village-level data into a unified, interactive administrative interface. The system was implemented using Angular 18 as the primary framework, with Leaflet.js providing geospatial visualization, Chart.js enabling data charting across multiple visualization types, and a purpose-built AI insight service delivering natural language-driven decision support.</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architectural design prioritizes modularity, reactivity, and extensibility, allowing the platform to accommodate new data domains and evolving administrative requirements without structural disruption. Role-based authentication, dynamic theming, and responsive layout design ensure that the platform is accessible, secure, and usable across the range of devices and user profiles encountered in rural administrative contexts.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Experimental evaluation demonstrated strong system performance, with initial page load times well within professional web application benchmarks and chart rendering latencies that maintain interactive responsiveness under realistic data volumes. Usability evaluation with representative administrative users produced a mean SUS score of 78.4, reflecting good usability with identified improvement opportunities in the AI query interface. Comparative analysis confirmed that the Smart Village Dashboard outperforms existing rural governance platforms on data domain coverage, geospatial visualization, AI-assisted analysis, interface modernity, and mobile responsiveness.</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platform demonstrates that thoughtful application of contemporary frontend engineering practices, integrative data design, and AI-assisted analysis can meaningfully advance the state of digital governance tools available to rural administrators. As rural communities worldwide continue to be underserved by digital infrastructure, platforms of this kind represent a concrete mechanism for reducing the governance capability gap between urban and rural administrative contexts, ultimately contributing to more equitable service delivery and more responsive local government.</w:t>
      </w:r>
    </w:p>
    <w:p>
      <w:r>
        <w:rPr>
          <w:sz w:val="18"/>
          <w:szCs w:val="18"/>
        </w:rPr>
        <w:t xml:space="preserve"/>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Future work will focus on live backend integration with authoritative government data systems, IoT sensor data ingestion for real-time environmental monitoring, multilingual AI query support, mobile companion application development for field data collection, and longitudinal impact evaluation across deployed administrative contexts.</w:t>
      </w:r>
    </w:p>
    <w:p>
      <w:pPr>
        <w:pStyle w:val="Heading1"/>
      </w:pPr>
      <w:r>
        <w:rPr>
          <w:rFonts w:ascii="Times New Roman" w:cs="Times New Roman" w:eastAsia="Times New Roman" w:hAnsi="Times New Roman"/>
          <w:b/>
          <w:bCs/>
          <w:sz w:val="20"/>
          <w:szCs w:val="20"/>
        </w:rPr>
        <w:t xml:space="preserve">ACKNOWLEDGMENT</w:t>
      </w:r>
    </w:p>
    <w:p>
      <w:pPr>
        <w:pStyle w:val="BodyText"/>
        <w:spacing w:after="0" w:before="0" w:line="240" w:lineRule="auto"/>
        <w:jc w:val="both"/>
      </w:pPr>
      <w:r>
        <w:rPr>
          <w:rFonts w:ascii="Times New Roman" w:cs="Times New Roman" w:eastAsia="Times New Roman" w:hAnsi="Times New Roman"/>
          <w:b w:val="false"/>
          <w:bCs w:val="false"/>
          <w:i w:val="false"/>
          <w:iCs w:val="false"/>
          <w:sz w:val="18"/>
          <w:szCs w:val="18"/>
        </w:rPr>
        <w:t xml:space="preserve">The authors wish to thank the district administrative officers and block-level staff who participated in the usability evaluation and provided practical insights that shaped the platform's design priorities. Their willingness to engage with a prototype system and share candid feedback was indispensable to the evaluation reported in this paper.</w:t>
      </w:r>
    </w:p>
    <w:p>
      <w:pPr>
        <w:pStyle w:val="Heading1"/>
      </w:pPr>
      <w:r>
        <w:rPr>
          <w:rFonts w:ascii="Times New Roman" w:cs="Times New Roman" w:eastAsia="Times New Roman" w:hAnsi="Times New Roman"/>
          <w:b/>
          <w:bCs/>
          <w:sz w:val="20"/>
          <w:szCs w:val="20"/>
        </w:rPr>
        <w:t xml:space="preserve">REFERENCES</w:t>
      </w:r>
    </w:p>
    <w:p>
      <w:pPr>
        <w:pStyle w:val="references"/>
      </w:pPr>
      <w:r>
        <w:rPr>
          <w:rFonts w:ascii="Times New Roman" w:cs="Times New Roman" w:eastAsia="Times New Roman" w:hAnsi="Times New Roman"/>
          <w:sz w:val="16"/>
          <w:szCs w:val="16"/>
        </w:rPr>
        <w:t xml:space="preserve">[1]	V. Zavratnik, A. Kos, and E. Stojmenova Duh, "Smart villages: Comprehensive review of initiatives and practices," Sustainability, vol. 10, no. 7, p. 2559, 2018.</w:t>
      </w:r>
    </w:p>
    <w:p>
      <w:pPr>
        <w:pStyle w:val="references"/>
      </w:pPr>
      <w:r>
        <w:rPr>
          <w:rFonts w:ascii="Times New Roman" w:cs="Times New Roman" w:eastAsia="Times New Roman" w:hAnsi="Times New Roman"/>
          <w:sz w:val="16"/>
          <w:szCs w:val="16"/>
        </w:rPr>
        <w:t xml:space="preserve">[2]	R. Kumar and A. Singh, "E-governance in rural India: Challenges and prospects," Int. J. Comput. Appl., vol. 180, no. 26, pp. 1–6, 2018.</w:t>
      </w:r>
    </w:p>
    <w:p>
      <w:pPr>
        <w:pStyle w:val="references"/>
      </w:pPr>
      <w:r>
        <w:rPr>
          <w:rFonts w:ascii="Times New Roman" w:cs="Times New Roman" w:eastAsia="Times New Roman" w:hAnsi="Times New Roman"/>
          <w:sz w:val="16"/>
          <w:szCs w:val="16"/>
        </w:rPr>
        <w:t xml:space="preserve">[3]	S. Misra, C. Goswami, and K. Srinivasan, "Mobile applications in rural governance: A review of adoption barriers," Gov. Inf. Q., vol. 36, no. 3, pp. 501–514, 2019.</w:t>
      </w:r>
    </w:p>
    <w:p>
      <w:pPr>
        <w:pStyle w:val="references"/>
      </w:pPr>
      <w:r>
        <w:rPr>
          <w:rFonts w:ascii="Times New Roman" w:cs="Times New Roman" w:eastAsia="Times New Roman" w:hAnsi="Times New Roman"/>
          <w:sz w:val="16"/>
          <w:szCs w:val="16"/>
        </w:rPr>
        <w:t xml:space="preserve">[4]	N. K. Tripathi and S. Bhattarya, "Integrating indigenous knowledge and GIS for participatory natural hazard mitigation: A case study of Sikkim Himalaya," Mt. Res. Dev., vol. 24, no. 3, pp. 233–240, 2004.</w:t>
      </w:r>
    </w:p>
    <w:p>
      <w:pPr>
        <w:pStyle w:val="references"/>
      </w:pPr>
      <w:r>
        <w:rPr>
          <w:rFonts w:ascii="Times New Roman" w:cs="Times New Roman" w:eastAsia="Times New Roman" w:hAnsi="Times New Roman"/>
          <w:sz w:val="16"/>
          <w:szCs w:val="16"/>
        </w:rPr>
        <w:t xml:space="preserve">[5]	D. Mandal, P. Chakraborty, and A. Roy, "GIS-based water resource monitoring for drought management in rural Maharashtra," J. Rural Dev., vol. 38, no. 2, pp. 115–131, 2019.</w:t>
      </w:r>
    </w:p>
    <w:p>
      <w:pPr>
        <w:pStyle w:val="references"/>
      </w:pPr>
      <w:r>
        <w:rPr>
          <w:rFonts w:ascii="Times New Roman" w:cs="Times New Roman" w:eastAsia="Times New Roman" w:hAnsi="Times New Roman"/>
          <w:sz w:val="16"/>
          <w:szCs w:val="16"/>
        </w:rPr>
        <w:t xml:space="preserve">[6]	T. T. Bui, P. Q. Le, and N. H. Nguyen, "Adoption of web-based GIS in Vietnamese commune administration: Barriers and enablers," J. e-Gov., vol. 43, no. 1, pp. 12–27, 2020.</w:t>
      </w:r>
    </w:p>
    <w:p>
      <w:pPr>
        <w:pStyle w:val="references"/>
      </w:pPr>
      <w:r>
        <w:rPr>
          <w:rFonts w:ascii="Times New Roman" w:cs="Times New Roman" w:eastAsia="Times New Roman" w:hAnsi="Times New Roman"/>
          <w:sz w:val="16"/>
          <w:szCs w:val="16"/>
        </w:rPr>
        <w:t xml:space="preserve">[7]	B. W. Wirtz, J. C. Weyerer, and C. Geyer, "Artificial intelligence and the public sector—applications and challenges," Int. J. Public Adm., vol. 42, no. 7, pp. 596–615, 2019.</w:t>
      </w:r>
    </w:p>
    <w:p>
      <w:pPr>
        <w:pStyle w:val="references"/>
      </w:pPr>
      <w:r>
        <w:rPr>
          <w:rFonts w:ascii="Times New Roman" w:cs="Times New Roman" w:eastAsia="Times New Roman" w:hAnsi="Times New Roman"/>
          <w:sz w:val="16"/>
          <w:szCs w:val="16"/>
        </w:rPr>
        <w:t xml:space="preserve">[8]	M. Janssen, P. Brous, E. Estevez, L. S. Barbosa, and T. Janowski, "Data governance: Organizing data for trustworthy artificial intelligence," Gov. Inf. Q., vol. 37, no. 3, p. 101493, 2020.</w:t>
      </w:r>
    </w:p>
    <w:p>
      <w:pPr>
        <w:pStyle w:val="references"/>
      </w:pPr>
      <w:r>
        <w:rPr>
          <w:rFonts w:ascii="Times New Roman" w:cs="Times New Roman" w:eastAsia="Times New Roman" w:hAnsi="Times New Roman"/>
          <w:sz w:val="16"/>
          <w:szCs w:val="16"/>
        </w:rPr>
        <w:t xml:space="preserve">[9]	H. D. Mehr, "Artificial intelligence for citizen services and government," Ash Center for Democratic Governance and Innovation, Harvard Kennedy School, Cambridge, MA, USA, Rep., 2017.</w:t>
      </w:r>
    </w:p>
    <w:p>
      <w:pPr>
        <w:pStyle w:val="references"/>
      </w:pPr>
      <w:r>
        <w:rPr>
          <w:rFonts w:ascii="Times New Roman" w:cs="Times New Roman" w:eastAsia="Times New Roman" w:hAnsi="Times New Roman"/>
          <w:sz w:val="16"/>
          <w:szCs w:val="16"/>
        </w:rPr>
        <w:t xml:space="preserve">[10]	V. Rao, S. Patil, and M. Kulkarni, "An open-source village information system for rural India: Design and field evaluation," in Proc. Int. Conf. Comput. Sustain. Dev., Bangalore, India, 2021, pp. 88–95.</w:t>
      </w:r>
    </w:p>
    <w:p>
      <w:pPr>
        <w:pStyle w:val="references"/>
      </w:pPr>
      <w:r>
        <w:rPr>
          <w:rFonts w:ascii="Times New Roman" w:cs="Times New Roman" w:eastAsia="Times New Roman" w:hAnsi="Times New Roman"/>
          <w:sz w:val="16"/>
          <w:szCs w:val="16"/>
        </w:rPr>
        <w:t xml:space="preserve">[11]	Angular Team, "Angular Documentation," Google LLC, version 18, 2024. [Online]. Available: https://angular.dev/</w:t>
      </w:r>
    </w:p>
    <w:p>
      <w:pPr>
        <w:pStyle w:val="references"/>
      </w:pPr>
      <w:r>
        <w:rPr>
          <w:rFonts w:ascii="Times New Roman" w:cs="Times New Roman" w:eastAsia="Times New Roman" w:hAnsi="Times New Roman"/>
          <w:sz w:val="16"/>
          <w:szCs w:val="16"/>
        </w:rPr>
        <w:t xml:space="preserve">[12]	Leaflet Contributors, "Leaflet: An open-source JavaScript library for mobile-friendly interactive maps," version 1.9.4, 2024. [Online]. Available: https://leafletjs.com/</w:t>
      </w:r>
    </w:p>
    <w:p>
      <w:pPr>
        <w:pStyle w:val="references"/>
      </w:pPr>
      <w:r>
        <w:rPr>
          <w:rFonts w:ascii="Times New Roman" w:cs="Times New Roman" w:eastAsia="Times New Roman" w:hAnsi="Times New Roman"/>
          <w:sz w:val="16"/>
          <w:szCs w:val="16"/>
        </w:rPr>
        <w:t xml:space="preserve">[13]	Chart.js Contributors, "Chart.js: Simple yet flexible JavaScript charting library," version 4.4, 2024. [Online]. Available: https://www.chartjs.org/</w:t>
      </w:r>
    </w:p>
    <w:p>
      <w:pPr>
        <w:pStyle w:val="references"/>
      </w:pPr>
      <w:r>
        <w:rPr>
          <w:rFonts w:ascii="Times New Roman" w:cs="Times New Roman" w:eastAsia="Times New Roman" w:hAnsi="Times New Roman"/>
          <w:sz w:val="16"/>
          <w:szCs w:val="16"/>
        </w:rPr>
        <w:t xml:space="preserve">[14]	B. Leander, "RxJS: Reactive extensions library for JavaScript," ReactiveX, version 7.8, 2024. [Online]. Available: https://rxjs.dev/</w:t>
      </w:r>
    </w:p>
    <w:p>
      <w:pPr>
        <w:pStyle w:val="references"/>
      </w:pPr>
      <w:r>
        <w:rPr>
          <w:rFonts w:ascii="Times New Roman" w:cs="Times New Roman" w:eastAsia="Times New Roman" w:hAnsi="Times New Roman"/>
          <w:sz w:val="16"/>
          <w:szCs w:val="16"/>
        </w:rPr>
        <w:t xml:space="preserve">[15]	J. Brooke, "SUS: A 'quick and dirty' usability scale," in Usability Evaluation in Industry, P. W. Jordan, B. Thomas, B. A. Weerdmeester, and A. L. McClelland, Eds. London, UK: Taylor &amp; Francis, 1996, pp. 189–194.</w:t>
      </w:r>
    </w:p>
    <w:p>
      <w:pPr>
        <w:pStyle w:val="references"/>
      </w:pPr>
      <w:r>
        <w:rPr>
          <w:rFonts w:ascii="Times New Roman" w:cs="Times New Roman" w:eastAsia="Times New Roman" w:hAnsi="Times New Roman"/>
          <w:sz w:val="16"/>
          <w:szCs w:val="16"/>
        </w:rPr>
        <w:t xml:space="preserve">[16]	Ministry of Electronics and Information Technology, Government of India, "National e-Governance Plan (NeGP): Annual Report 2022–23," New Delhi, India, 2023.</w:t>
      </w:r>
    </w:p>
    <w:p>
      <w:pPr>
        <w:pStyle w:val="references"/>
      </w:pPr>
      <w:r>
        <w:rPr>
          <w:rFonts w:ascii="Times New Roman" w:cs="Times New Roman" w:eastAsia="Times New Roman" w:hAnsi="Times New Roman"/>
          <w:sz w:val="16"/>
          <w:szCs w:val="16"/>
        </w:rPr>
        <w:t xml:space="preserve">[17]	T. Ojha, S. Misra, and N. S. Raghuwanshi, "Wireless sensor networks for agriculture: The state-of-the-art in practice and future challenges," Comput. Electron. Agric., vol. 118, pp. 66–84, 2015.</w:t>
      </w:r>
    </w:p>
    <w:p>
      <w:pPr>
        <w:pStyle w:val="references"/>
      </w:pPr>
      <w:r>
        <w:rPr>
          <w:rFonts w:ascii="Times New Roman" w:cs="Times New Roman" w:eastAsia="Times New Roman" w:hAnsi="Times New Roman"/>
          <w:sz w:val="16"/>
          <w:szCs w:val="16"/>
        </w:rPr>
        <w:t xml:space="preserve">[18]	S. Li, L. Da Xu, and S. Zhao, "The internet of things: A survey," Inf. Syst. Front., vol. 17, no. 2, pp. 243–259, 2015.</w:t>
      </w:r>
    </w:p>
    <w:p>
      <w:pPr>
        <w:pStyle w:val="references"/>
      </w:pPr>
      <w:r>
        <w:rPr>
          <w:rFonts w:ascii="Times New Roman" w:cs="Times New Roman" w:eastAsia="Times New Roman" w:hAnsi="Times New Roman"/>
          <w:sz w:val="16"/>
          <w:szCs w:val="16"/>
        </w:rPr>
        <w:t xml:space="preserve">[19]	J. Nielsen, "Usability Engineering," San Francisco, CA, USA: Morgan Kaufmann, 1993.</w:t>
      </w:r>
    </w:p>
    <w:p>
      <w:pPr>
        <w:pStyle w:val="references"/>
      </w:pPr>
      <w:r>
        <w:rPr>
          <w:rFonts w:ascii="Times New Roman" w:cs="Times New Roman" w:eastAsia="Times New Roman" w:hAnsi="Times New Roman"/>
          <w:sz w:val="16"/>
          <w:szCs w:val="16"/>
        </w:rPr>
        <w:t xml:space="preserve">[20]	O. Solon, "Digital villages: How technology is reshaping rural life," Wired, Aug. 2022. [Online]. Available: https://www.wired.com/</w:t>
      </w:r>
    </w:p>
    <w:sectPr>
      <w:pgSz w:w="11906" w:h="16838" w:orient="portrait"/>
      <w:pgMar w:top="450" w:right="893" w:bottom="1440" w:left="8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pertitle">
    <w:name w:val="paper title"/>
    <w:basedOn w:val="Normal"/>
    <w:pPr>
      <w:spacing w:after="120" w:before="0"/>
      <w:jc w:val="center"/>
    </w:pPr>
    <w:rPr>
      <w:rFonts w:ascii="Times New Roman" w:cs="Times New Roman" w:eastAsia="Times New Roman" w:hAnsi="Times New Roman"/>
      <w:b/>
      <w:bCs/>
      <w:sz w:val="36"/>
      <w:szCs w:val="36"/>
    </w:rPr>
  </w:style>
  <w:style w:type="paragraph" w:styleId="Author">
    <w:name w:val="Author"/>
    <w:basedOn w:val="Normal"/>
    <w:pPr>
      <w:spacing w:after="120" w:before="100"/>
      <w:jc w:val="center"/>
    </w:pPr>
    <w:rPr>
      <w:rFonts w:ascii="Times New Roman" w:cs="Times New Roman" w:eastAsia="Times New Roman" w:hAnsi="Times New Roman"/>
      <w:sz w:val="18"/>
      <w:szCs w:val="18"/>
    </w:rPr>
  </w:style>
  <w:style w:type="paragraph" w:styleId="Abstract">
    <w:name w:val="Abstract"/>
    <w:basedOn w:val="Normal"/>
    <w:pPr>
      <w:spacing w:after="120" w:before="0" w:line="240"/>
      <w:jc w:val="both"/>
    </w:pPr>
    <w:rPr>
      <w:rFonts w:ascii="Times New Roman" w:cs="Times New Roman" w:eastAsia="Times New Roman" w:hAnsi="Times New Roman"/>
      <w:sz w:val="18"/>
      <w:szCs w:val="18"/>
    </w:rPr>
  </w:style>
  <w:style w:type="paragraph" w:styleId="Keywords">
    <w:name w:val="Keywords"/>
    <w:basedOn w:val="Normal"/>
    <w:pPr>
      <w:spacing w:after="120" w:before="0" w:line="240"/>
      <w:jc w:val="both"/>
    </w:pPr>
    <w:rPr>
      <w:rFonts w:ascii="Times New Roman" w:cs="Times New Roman" w:eastAsia="Times New Roman" w:hAnsi="Times New Roman"/>
      <w:sz w:val="18"/>
      <w:szCs w:val="18"/>
    </w:rPr>
  </w:style>
  <w:style w:type="paragraph" w:styleId="BodyText">
    <w:name w:val="Body Text"/>
    <w:basedOn w:val="Normal"/>
    <w:pPr>
      <w:spacing w:after="0" w:before="0" w:line="240"/>
      <w:jc w:val="both"/>
    </w:pPr>
    <w:rPr>
      <w:rFonts w:ascii="Times New Roman" w:cs="Times New Roman" w:eastAsia="Times New Roman" w:hAnsi="Times New Roman"/>
      <w:sz w:val="18"/>
      <w:szCs w:val="18"/>
    </w:rPr>
  </w:style>
  <w:style w:type="paragraph" w:styleId="Heading1">
    <w:name w:val="heading 1"/>
    <w:basedOn w:val="Normal"/>
    <w:pPr>
      <w:spacing w:after="120" w:before="240"/>
    </w:pPr>
    <w:rPr>
      <w:rFonts w:ascii="Times New Roman" w:cs="Times New Roman" w:eastAsia="Times New Roman" w:hAnsi="Times New Roman"/>
      <w:b/>
      <w:bCs/>
      <w:smallCaps/>
      <w:sz w:val="20"/>
      <w:szCs w:val="20"/>
    </w:rPr>
  </w:style>
  <w:style w:type="paragraph" w:styleId="Heading2">
    <w:name w:val="heading 2"/>
    <w:basedOn w:val="Normal"/>
    <w:pPr>
      <w:spacing w:after="60" w:before="120"/>
    </w:pPr>
    <w:rPr>
      <w:rFonts w:ascii="Times New Roman" w:cs="Times New Roman" w:eastAsia="Times New Roman" w:hAnsi="Times New Roman"/>
      <w:b/>
      <w:bCs/>
      <w:i/>
      <w:iCs/>
      <w:sz w:val="18"/>
      <w:szCs w:val="18"/>
    </w:rPr>
  </w:style>
  <w:style w:type="paragraph" w:styleId="Heading3">
    <w:name w:val="heading 3"/>
    <w:basedOn w:val="Normal"/>
    <w:pPr>
      <w:spacing w:after="40" w:before="80"/>
    </w:pPr>
    <w:rPr>
      <w:rFonts w:ascii="Times New Roman" w:cs="Times New Roman" w:eastAsia="Times New Roman" w:hAnsi="Times New Roman"/>
      <w:i/>
      <w:iCs/>
      <w:sz w:val="18"/>
      <w:szCs w:val="18"/>
    </w:rPr>
  </w:style>
  <w:style w:type="paragraph" w:styleId="references">
    <w:name w:val="references"/>
    <w:basedOn w:val="Normal"/>
    <w:pPr>
      <w:spacing w:after="0" w:before="0" w:line="240"/>
      <w:ind w:left="360" w:hanging="360"/>
      <w:jc w:val="both"/>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2026-04-14T13:20:10.622Z</dcterms:created>
  <dcterms:modified xsi:type="dcterms:W3CDTF">2026-04-14T13:20:10.623Z</dcterms:modified>
</cp:coreProperties>
</file>

<file path=docProps/custom.xml><?xml version="1.0" encoding="utf-8"?>
<Properties xmlns="http://schemas.openxmlformats.org/officeDocument/2006/custom-properties" xmlns:vt="http://schemas.openxmlformats.org/officeDocument/2006/docPropsVTypes"/>
</file>