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Smart Village Dashboard: A Web-Based Integrated Platform for Rural Governance, Resource Monitoring, and AI-Driven Decision Support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0" w:right="0" w:firstLine="0"/>
        <w:jc w:val="center"/>
        <w:rPr/>
        <w:sectPr>
          <w:pgSz w:h="16838" w:w="11906" w:orient="portrait"/>
          <w:pgMar w:bottom="1440" w:top="450" w:left="893" w:right="893" w:header="708" w:footer="708"/>
          <w:pgNumType w:start="1"/>
        </w:sect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0" w:right="0" w:firstLine="0"/>
        <w:jc w:val="center"/>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0" w:right="0" w:firstLine="0"/>
        <w:jc w:val="center"/>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0" w:right="0" w:firstLine="0"/>
        <w:jc w:val="center"/>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0" w:right="0" w:firstLine="0"/>
        <w:jc w:val="center"/>
        <w:rPr/>
      </w:pPr>
      <w:r w:rsidDel="00000000" w:rsidR="00000000" w:rsidRPr="00000000">
        <w:rPr>
          <w:rtl w:val="0"/>
        </w:rPr>
        <w:t xml:space="preserve">Ketan Yadav</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0" w:right="0" w:firstLine="0"/>
        <w:jc w:val="center"/>
        <w:rPr/>
      </w:pPr>
      <w:r w:rsidDel="00000000" w:rsidR="00000000" w:rsidRPr="00000000">
        <w:rPr>
          <w:rtl w:val="0"/>
        </w:rPr>
        <w:t xml:space="preserve">School of Computer application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0" w:right="0" w:firstLine="0"/>
        <w:jc w:val="center"/>
        <w:rPr/>
      </w:pPr>
      <w:r w:rsidDel="00000000" w:rsidR="00000000" w:rsidRPr="00000000">
        <w:rPr>
          <w:rtl w:val="0"/>
        </w:rPr>
        <w:t xml:space="preserve">Lovely professional University</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0" w:right="0" w:firstLine="0"/>
        <w:jc w:val="center"/>
        <w:rPr/>
      </w:pPr>
      <w:r w:rsidDel="00000000" w:rsidR="00000000" w:rsidRPr="00000000">
        <w:rPr>
          <w:rtl w:val="0"/>
        </w:rPr>
        <w:t xml:space="preserve">Punjab, phagwara</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0" w:right="0" w:firstLine="0"/>
        <w:jc w:val="center"/>
        <w:rPr/>
      </w:pPr>
      <w:hyperlink r:id="rId6">
        <w:r w:rsidDel="00000000" w:rsidR="00000000" w:rsidRPr="00000000">
          <w:rPr>
            <w:color w:val="1155cc"/>
            <w:u w:val="single"/>
            <w:rtl w:val="0"/>
          </w:rPr>
          <w:t xml:space="preserve">yhimanshu331@gmail.com</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0" w:right="0" w:firstLine="0"/>
        <w:jc w:val="center"/>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0" w:right="0" w:firstLine="0"/>
        <w:jc w:val="center"/>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0" w:right="0" w:firstLine="0"/>
        <w:jc w:val="center"/>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0" w:right="0" w:firstLine="0"/>
        <w:jc w:val="center"/>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0" w:right="0" w:firstLine="0"/>
        <w:jc w:val="center"/>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0" w:right="0" w:firstLine="0"/>
        <w:jc w:val="center"/>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0" w:right="0" w:firstLine="0"/>
        <w:jc w:val="center"/>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0" w:right="0" w:firstLine="0"/>
        <w:jc w:val="center"/>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0" w:right="0" w:firstLine="0"/>
        <w:jc w:val="center"/>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0" w:right="0" w:firstLine="0"/>
        <w:jc w:val="center"/>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40" w:lineRule="auto"/>
        <w:ind w:left="0" w:right="0" w:firstLine="0"/>
        <w:jc w:val="center"/>
        <w:rPr/>
      </w:pPr>
      <w:r w:rsidDel="00000000" w:rsidR="00000000" w:rsidRPr="00000000">
        <w:rPr>
          <w:rtl w:val="0"/>
        </w:rPr>
        <w:t xml:space="preserve">Sourabh Raj</w:t>
      </w:r>
    </w:p>
    <w:p w:rsidR="00000000" w:rsidDel="00000000" w:rsidP="00000000" w:rsidRDefault="00000000" w:rsidRPr="00000000" w14:paraId="00000016">
      <w:pPr>
        <w:spacing w:before="100" w:lineRule="auto"/>
        <w:jc w:val="center"/>
        <w:rPr/>
      </w:pPr>
      <w:r w:rsidDel="00000000" w:rsidR="00000000" w:rsidRPr="00000000">
        <w:rPr>
          <w:rtl w:val="0"/>
        </w:rPr>
        <w:t xml:space="preserve">School of Computer application</w:t>
      </w:r>
    </w:p>
    <w:p w:rsidR="00000000" w:rsidDel="00000000" w:rsidP="00000000" w:rsidRDefault="00000000" w:rsidRPr="00000000" w14:paraId="00000017">
      <w:pPr>
        <w:spacing w:before="100" w:lineRule="auto"/>
        <w:jc w:val="center"/>
        <w:rPr/>
      </w:pPr>
      <w:r w:rsidDel="00000000" w:rsidR="00000000" w:rsidRPr="00000000">
        <w:rPr>
          <w:rtl w:val="0"/>
        </w:rPr>
        <w:t xml:space="preserve">Lovely professional University</w:t>
      </w:r>
    </w:p>
    <w:p w:rsidR="00000000" w:rsidDel="00000000" w:rsidP="00000000" w:rsidRDefault="00000000" w:rsidRPr="00000000" w14:paraId="00000018">
      <w:pPr>
        <w:spacing w:before="100" w:lineRule="auto"/>
        <w:jc w:val="center"/>
        <w:rPr/>
      </w:pPr>
      <w:r w:rsidDel="00000000" w:rsidR="00000000" w:rsidRPr="00000000">
        <w:rPr>
          <w:rtl w:val="0"/>
        </w:rPr>
        <w:t xml:space="preserve">Punjab, phagwara</w:t>
      </w:r>
    </w:p>
    <w:p w:rsidR="00000000" w:rsidDel="00000000" w:rsidP="00000000" w:rsidRDefault="00000000" w:rsidRPr="00000000" w14:paraId="00000019">
      <w:pPr>
        <w:spacing w:before="100" w:lineRule="auto"/>
        <w:jc w:val="center"/>
        <w:rPr/>
      </w:pPr>
      <w:r w:rsidDel="00000000" w:rsidR="00000000" w:rsidRPr="00000000">
        <w:rPr>
          <w:rtl w:val="0"/>
        </w:rPr>
        <w:t xml:space="preserve">sourabhraj23@lpu.in</w:t>
      </w:r>
    </w:p>
    <w:p w:rsidR="00000000" w:rsidDel="00000000" w:rsidP="00000000" w:rsidRDefault="00000000" w:rsidRPr="00000000" w14:paraId="0000001A">
      <w:pPr>
        <w:spacing w:before="100" w:lineRule="auto"/>
        <w:jc w:val="center"/>
        <w:rPr/>
      </w:pPr>
      <w:r w:rsidDel="00000000" w:rsidR="00000000" w:rsidRPr="00000000">
        <w:rPr>
          <w:rtl w:val="0"/>
        </w:rPr>
      </w:r>
    </w:p>
    <w:p w:rsidR="00000000" w:rsidDel="00000000" w:rsidP="00000000" w:rsidRDefault="00000000" w:rsidRPr="00000000" w14:paraId="0000001B">
      <w:pPr>
        <w:spacing w:before="100" w:lineRule="auto"/>
        <w:jc w:val="center"/>
        <w:rPr/>
      </w:pPr>
      <w:r w:rsidDel="00000000" w:rsidR="00000000" w:rsidRPr="00000000">
        <w:rPr>
          <w:rtl w:val="0"/>
        </w:rPr>
      </w:r>
    </w:p>
    <w:p w:rsidR="00000000" w:rsidDel="00000000" w:rsidP="00000000" w:rsidRDefault="00000000" w:rsidRPr="00000000" w14:paraId="0000001C">
      <w:pPr>
        <w:spacing w:before="100" w:lineRule="auto"/>
        <w:jc w:val="center"/>
        <w:rPr/>
      </w:pPr>
      <w:r w:rsidDel="00000000" w:rsidR="00000000" w:rsidRPr="00000000">
        <w:rPr>
          <w:rtl w:val="0"/>
        </w:rPr>
      </w:r>
    </w:p>
    <w:p w:rsidR="00000000" w:rsidDel="00000000" w:rsidP="00000000" w:rsidRDefault="00000000" w:rsidRPr="00000000" w14:paraId="0000001D">
      <w:pPr>
        <w:spacing w:before="100" w:lineRule="auto"/>
        <w:jc w:val="center"/>
        <w:rPr/>
      </w:pPr>
      <w:r w:rsidDel="00000000" w:rsidR="00000000" w:rsidRPr="00000000">
        <w:rPr>
          <w:rtl w:val="0"/>
        </w:rPr>
      </w:r>
    </w:p>
    <w:p w:rsidR="00000000" w:rsidDel="00000000" w:rsidP="00000000" w:rsidRDefault="00000000" w:rsidRPr="00000000" w14:paraId="0000001E">
      <w:pPr>
        <w:spacing w:before="100" w:lineRule="auto"/>
        <w:jc w:val="center"/>
        <w:rPr/>
      </w:pPr>
      <w:r w:rsidDel="00000000" w:rsidR="00000000" w:rsidRPr="00000000">
        <w:rPr>
          <w:rtl w:val="0"/>
        </w:rPr>
      </w:r>
    </w:p>
    <w:p w:rsidR="00000000" w:rsidDel="00000000" w:rsidP="00000000" w:rsidRDefault="00000000" w:rsidRPr="00000000" w14:paraId="0000001F">
      <w:pPr>
        <w:spacing w:before="100" w:lineRule="auto"/>
        <w:jc w:val="center"/>
        <w:rPr/>
      </w:pPr>
      <w:r w:rsidDel="00000000" w:rsidR="00000000" w:rsidRPr="00000000">
        <w:rPr>
          <w:rtl w:val="0"/>
        </w:rPr>
      </w:r>
    </w:p>
    <w:p w:rsidR="00000000" w:rsidDel="00000000" w:rsidP="00000000" w:rsidRDefault="00000000" w:rsidRPr="00000000" w14:paraId="00000020">
      <w:pPr>
        <w:spacing w:before="100" w:lineRule="auto"/>
        <w:jc w:val="center"/>
        <w:rPr/>
      </w:pPr>
      <w:r w:rsidDel="00000000" w:rsidR="00000000" w:rsidRPr="00000000">
        <w:rPr>
          <w:rtl w:val="0"/>
        </w:rPr>
      </w:r>
    </w:p>
    <w:p w:rsidR="00000000" w:rsidDel="00000000" w:rsidP="00000000" w:rsidRDefault="00000000" w:rsidRPr="00000000" w14:paraId="00000021">
      <w:pPr>
        <w:spacing w:before="100" w:lineRule="auto"/>
        <w:jc w:val="center"/>
        <w:rPr/>
      </w:pPr>
      <w:r w:rsidDel="00000000" w:rsidR="00000000" w:rsidRPr="00000000">
        <w:rPr>
          <w:rtl w:val="0"/>
        </w:rPr>
      </w:r>
    </w:p>
    <w:p w:rsidR="00000000" w:rsidDel="00000000" w:rsidP="00000000" w:rsidRDefault="00000000" w:rsidRPr="00000000" w14:paraId="00000022">
      <w:pPr>
        <w:spacing w:before="100" w:lineRule="auto"/>
        <w:jc w:val="center"/>
        <w:rPr/>
      </w:pPr>
      <w:r w:rsidDel="00000000" w:rsidR="00000000" w:rsidRPr="00000000">
        <w:rPr>
          <w:rtl w:val="0"/>
        </w:rPr>
      </w:r>
    </w:p>
    <w:p w:rsidR="00000000" w:rsidDel="00000000" w:rsidP="00000000" w:rsidRDefault="00000000" w:rsidRPr="00000000" w14:paraId="00000023">
      <w:pPr>
        <w:spacing w:before="100" w:lineRule="auto"/>
        <w:jc w:val="center"/>
        <w:rPr/>
      </w:pPr>
      <w:r w:rsidDel="00000000" w:rsidR="00000000" w:rsidRPr="00000000">
        <w:rPr>
          <w:rtl w:val="0"/>
        </w:rPr>
        <w:t xml:space="preserve">Bhavin Vashisth</w:t>
      </w:r>
    </w:p>
    <w:p w:rsidR="00000000" w:rsidDel="00000000" w:rsidP="00000000" w:rsidRDefault="00000000" w:rsidRPr="00000000" w14:paraId="00000024">
      <w:pPr>
        <w:spacing w:before="100" w:lineRule="auto"/>
        <w:jc w:val="center"/>
        <w:rPr/>
      </w:pPr>
      <w:r w:rsidDel="00000000" w:rsidR="00000000" w:rsidRPr="00000000">
        <w:rPr>
          <w:rtl w:val="0"/>
        </w:rPr>
        <w:t xml:space="preserve">School of Computer application</w:t>
      </w:r>
    </w:p>
    <w:p w:rsidR="00000000" w:rsidDel="00000000" w:rsidP="00000000" w:rsidRDefault="00000000" w:rsidRPr="00000000" w14:paraId="00000025">
      <w:pPr>
        <w:spacing w:before="100" w:lineRule="auto"/>
        <w:jc w:val="center"/>
        <w:rPr/>
      </w:pPr>
      <w:r w:rsidDel="00000000" w:rsidR="00000000" w:rsidRPr="00000000">
        <w:rPr>
          <w:rtl w:val="0"/>
        </w:rPr>
        <w:t xml:space="preserve">Lovely professional University</w:t>
      </w:r>
    </w:p>
    <w:p w:rsidR="00000000" w:rsidDel="00000000" w:rsidP="00000000" w:rsidRDefault="00000000" w:rsidRPr="00000000" w14:paraId="00000026">
      <w:pPr>
        <w:spacing w:before="100" w:lineRule="auto"/>
        <w:jc w:val="center"/>
        <w:rPr/>
      </w:pPr>
      <w:r w:rsidDel="00000000" w:rsidR="00000000" w:rsidRPr="00000000">
        <w:rPr>
          <w:rtl w:val="0"/>
        </w:rPr>
        <w:t xml:space="preserve">Punjab, phagwara</w:t>
      </w:r>
    </w:p>
    <w:p w:rsidR="00000000" w:rsidDel="00000000" w:rsidP="00000000" w:rsidRDefault="00000000" w:rsidRPr="00000000" w14:paraId="00000027">
      <w:pPr>
        <w:spacing w:before="100" w:lineRule="auto"/>
        <w:jc w:val="center"/>
        <w:rPr/>
      </w:pPr>
      <w:hyperlink r:id="rId7">
        <w:r w:rsidDel="00000000" w:rsidR="00000000" w:rsidRPr="00000000">
          <w:rPr>
            <w:color w:val="1155cc"/>
            <w:u w:val="single"/>
            <w:rtl w:val="0"/>
          </w:rPr>
          <w:t xml:space="preserve">bhavin.vashisth1@gmail.com</w:t>
        </w:r>
      </w:hyperlink>
      <w:r w:rsidDel="00000000" w:rsidR="00000000" w:rsidRPr="00000000">
        <w:rPr>
          <w:rtl w:val="0"/>
        </w:rPr>
      </w:r>
    </w:p>
    <w:p w:rsidR="00000000" w:rsidDel="00000000" w:rsidP="00000000" w:rsidRDefault="00000000" w:rsidRPr="00000000" w14:paraId="00000028">
      <w:pPr>
        <w:spacing w:before="100" w:lineRule="auto"/>
        <w:jc w:val="center"/>
        <w:rPr/>
      </w:pPr>
      <w:r w:rsidDel="00000000" w:rsidR="00000000" w:rsidRPr="00000000">
        <w:rPr>
          <w:rtl w:val="0"/>
        </w:rPr>
      </w:r>
    </w:p>
    <w:p w:rsidR="00000000" w:rsidDel="00000000" w:rsidP="00000000" w:rsidRDefault="00000000" w:rsidRPr="00000000" w14:paraId="00000029">
      <w:pPr>
        <w:spacing w:before="100" w:lineRule="auto"/>
        <w:jc w:val="center"/>
        <w:rPr/>
      </w:pPr>
      <w:r w:rsidDel="00000000" w:rsidR="00000000" w:rsidRPr="00000000">
        <w:rPr>
          <w:rtl w:val="0"/>
        </w:rPr>
        <w:t xml:space="preserve">Supervisor Manish Singh</w:t>
      </w:r>
    </w:p>
    <w:p w:rsidR="00000000" w:rsidDel="00000000" w:rsidP="00000000" w:rsidRDefault="00000000" w:rsidRPr="00000000" w14:paraId="0000002A">
      <w:pPr>
        <w:spacing w:before="100" w:lineRule="auto"/>
        <w:jc w:val="center"/>
        <w:rPr/>
      </w:pPr>
      <w:r w:rsidDel="00000000" w:rsidR="00000000" w:rsidRPr="00000000">
        <w:rPr>
          <w:rtl w:val="0"/>
        </w:rPr>
        <w:t xml:space="preserve">School of Computer application</w:t>
      </w:r>
    </w:p>
    <w:p w:rsidR="00000000" w:rsidDel="00000000" w:rsidP="00000000" w:rsidRDefault="00000000" w:rsidRPr="00000000" w14:paraId="0000002B">
      <w:pPr>
        <w:spacing w:before="100" w:lineRule="auto"/>
        <w:jc w:val="center"/>
        <w:rPr/>
      </w:pPr>
      <w:r w:rsidDel="00000000" w:rsidR="00000000" w:rsidRPr="00000000">
        <w:rPr>
          <w:rtl w:val="0"/>
        </w:rPr>
        <w:t xml:space="preserve">Lovely professional University</w:t>
      </w:r>
    </w:p>
    <w:p w:rsidR="00000000" w:rsidDel="00000000" w:rsidP="00000000" w:rsidRDefault="00000000" w:rsidRPr="00000000" w14:paraId="0000002C">
      <w:pPr>
        <w:spacing w:before="100" w:lineRule="auto"/>
        <w:jc w:val="center"/>
        <w:rPr/>
      </w:pPr>
      <w:r w:rsidDel="00000000" w:rsidR="00000000" w:rsidRPr="00000000">
        <w:rPr>
          <w:rtl w:val="0"/>
        </w:rPr>
        <w:t xml:space="preserve">Punjab, phagwara</w:t>
      </w:r>
    </w:p>
    <w:p w:rsidR="00000000" w:rsidDel="00000000" w:rsidP="00000000" w:rsidRDefault="00000000" w:rsidRPr="00000000" w14:paraId="0000002D">
      <w:pPr>
        <w:spacing w:before="100" w:lineRule="auto"/>
        <w:jc w:val="center"/>
        <w:rPr/>
        <w:sectPr>
          <w:type w:val="continuous"/>
          <w:pgSz w:h="16838" w:w="11906" w:orient="portrait"/>
          <w:pgMar w:bottom="1440" w:top="450" w:left="893" w:right="893" w:header="708" w:footer="708"/>
          <w:cols w:equalWidth="0" w:num="3">
            <w:col w:space="720" w:w="2893.16"/>
            <w:col w:space="720" w:w="2893.16"/>
            <w:col w:space="0" w:w="2893.16"/>
          </w:cols>
        </w:sectPr>
      </w:pPr>
      <w:r w:rsidDel="00000000" w:rsidR="00000000" w:rsidRPr="00000000">
        <w:rPr>
          <w:rtl w:val="0"/>
        </w:rPr>
      </w:r>
    </w:p>
    <w:p w:rsidR="00000000" w:rsidDel="00000000" w:rsidP="00000000" w:rsidRDefault="00000000" w:rsidRPr="00000000" w14:paraId="0000002E">
      <w:pPr>
        <w:spacing w:before="100" w:lineRule="auto"/>
        <w:jc w:val="cente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i w:val="1"/>
          <w:iCs w:val="1"/>
          <w:sz w:val="20"/>
          <w:szCs w:val="20"/>
        </w:rPr>
        <w:sectPr>
          <w:type w:val="continuous"/>
          <w:pgSz w:h="16838" w:w="11906" w:orient="portrait"/>
          <w:pgMar w:bottom="1440" w:top="450" w:left="893" w:right="893" w:header="708" w:footer="708"/>
        </w:sect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Abstract</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Rural governance in developing nations continues to face persistent challenges linked to fragmented data systems, poor resource visibility, limited citizen participation, and inadequate administrative coordination. The Smart Village Dashboard addresses these systemic deficiencies through a unified, web-based platform engineered using Angular 18 and a reactive, component-driven architecture. The system consolidates heterogeneous village-level datasets spanning agriculture, water resources, health indicators, education metrics, infrastructure status, financial records, and population statistics into a single interactive interface. A geospatial map module powered by Leaflet.js provides spatial situational awareness, while Chart.js-rendered visualizations offer real-time trend analysis. An integrated AI insight engine employs natural language querying to deliver contextual decision support for administrators, enabling evidence-based governance at the grassroots level. The platform incorporates role-based authentication, dynamic theming, responsive design, and modular routing to ensure accessibility and extensibility. Performance evaluation, usability assessment, and comparative analysis with existing rural management systems confirm that the Smart Village Dashboard achieves measurable improvements in administrative efficiency, data transparency, and decision-making responsiveness. This paper presents the architectural foundations, implementation methodology, experimental evaluation, and implications of the proposed system for rural digital transformation.</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0"/>
          <w:szCs w:val="20"/>
          <w:u w:val="none"/>
          <w:shd w:fill="auto" w:val="clear"/>
          <w:vertAlign w:val="baseline"/>
          <w:rtl w:val="0"/>
        </w:rPr>
        <w:t xml:space="preserve">Keywords</w:t>
      </w:r>
      <w:r w:rsidDel="00000000" w:rsidR="00000000" w:rsidRPr="00000000">
        <w:rPr>
          <w:b w:val="1"/>
          <w:bCs w:val="1"/>
          <w:i w:val="0"/>
          <w:iCs w:val="0"/>
          <w:smallCaps w:val="0"/>
          <w:strike w:val="0"/>
          <w:color w:val="000000"/>
          <w:sz w:val="20"/>
          <w:szCs w:val="20"/>
          <w:u w:val="none"/>
          <w:shd w:fill="auto" w:val="clear"/>
          <w:vertAlign w:val="baseline"/>
          <w:rtl w:val="0"/>
        </w:rPr>
        <w:t xml:space="preserve">—smart village, rural governance, angular, dashboard, geospatial, AI insights, Chart.js, Leaflet.js, digital transformation, e-governance</w:t>
      </w:r>
    </w:p>
    <w:p w:rsidR="00000000" w:rsidDel="00000000" w:rsidP="00000000" w:rsidRDefault="00000000" w:rsidRPr="00000000" w14:paraId="00000033">
      <w:pPr>
        <w:rPr>
          <w:b w:val="1"/>
          <w:bCs w:val="1"/>
          <w:sz w:val="20"/>
          <w:szCs w:val="20"/>
        </w:rPr>
      </w:pPr>
      <w:r w:rsidDel="00000000" w:rsidR="00000000" w:rsidRPr="00000000">
        <w:rPr>
          <w:rtl w:val="0"/>
        </w:rPr>
      </w:r>
    </w:p>
    <w:p w:rsidR="00000000" w:rsidDel="00000000" w:rsidP="00000000" w:rsidRDefault="00000000" w:rsidRPr="00000000" w14:paraId="00000034">
      <w:pPr>
        <w:pStyle w:val="Heading1"/>
        <w:rPr>
          <w:sz w:val="22"/>
          <w:szCs w:val="22"/>
        </w:rPr>
      </w:pPr>
      <w:r w:rsidDel="00000000" w:rsidR="00000000" w:rsidRPr="00000000">
        <w:rPr>
          <w:rFonts w:ascii="Times New Roman" w:cs="Times New Roman" w:eastAsia="Times New Roman" w:hAnsi="Times New Roman"/>
          <w:b w:val="1"/>
          <w:bCs w:val="1"/>
          <w:sz w:val="22"/>
          <w:szCs w:val="22"/>
          <w:rtl w:val="0"/>
        </w:rPr>
        <w:t xml:space="preserve">I. INTRODUCTION</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notion of "smart" infrastructure, widely implemented in urban contexts through smart city frameworks, has gradually gained momentum as a model for rural development. Villages, which constitute the foundational units of agrarian economies like India, Bangladesh, and sub-Saharan African nations, often remain underserved by digital governance tools despite being home to the majority of the population. These communities suffer from inadequate record-keeping systems, lack of real-time visibility into resource utilization, and near-total absence of data-driven administrative processes.</w:t>
      </w:r>
    </w:p>
    <w:p w:rsidR="00000000" w:rsidDel="00000000" w:rsidP="00000000" w:rsidRDefault="00000000" w:rsidRPr="00000000" w14:paraId="00000036">
      <w:pPr>
        <w:rPr>
          <w:sz w:val="20"/>
          <w:szCs w:val="20"/>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Traditional rural governance relies on paper-based registers, manual headcounts, and periodic field surveys that are both time-consuming and error-prone. Administrative officers at the panchayat or block level are compelled to make decisions with incomplete or outdated information, leading to misallocation of resources, delays in service delivery, and poor accountability to citizens. The digital divide between urban and rural administrative capacity represents a structural challenge that technology, if appropriately designed, can begin to bridge.</w:t>
      </w:r>
    </w:p>
    <w:p w:rsidR="00000000" w:rsidDel="00000000" w:rsidP="00000000" w:rsidRDefault="00000000" w:rsidRPr="00000000" w14:paraId="00000038">
      <w:pPr>
        <w:rPr>
          <w:sz w:val="20"/>
          <w:szCs w:val="20"/>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Smart Village Dashboard was conceived to directly address this governance gap. Rather than building isolated digital tools for individual domains such as agriculture or water management in isolation, the project takes an integrative approach, consolidating multiple data streams from across village operations into a single, navigable interface. The platform was engineered using Angular 18, a mature and production-grade frontend framework, alongside Leaflet.js for geospatial visualization, Chart.js for data charting, and a purpose-built AI insight service that enables natural language querying of village datasets.</w:t>
      </w:r>
    </w:p>
    <w:p w:rsidR="00000000" w:rsidDel="00000000" w:rsidP="00000000" w:rsidRDefault="00000000" w:rsidRPr="00000000" w14:paraId="0000003A">
      <w:pPr>
        <w:rPr>
          <w:sz w:val="20"/>
          <w:szCs w:val="20"/>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system's architecture reflects several core design principles: modularity, which allows new data domains to be incorporated without architectural disruption; reactivity, which ensures that the interface updates in real time as underlying data changes; and accessibility, which prioritizes clean, responsive layouts that function across a range of device types and network conditions. Role-based authentication protects sensitive administrative data while maintaining public transparency where appropriate.</w:t>
      </w:r>
    </w:p>
    <w:p w:rsidR="00000000" w:rsidDel="00000000" w:rsidP="00000000" w:rsidRDefault="00000000" w:rsidRPr="00000000" w14:paraId="0000003C">
      <w:pPr>
        <w:rPr>
          <w:sz w:val="20"/>
          <w:szCs w:val="20"/>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paper makes several contributions to the literature on rural e-governance and dashboard systems. First, it presents a detailed account of the architectural decisions that shaped the Smart Village Dashboard, including the rationale for Angular's component-based model, the integration strategy for third-party mapping and charting libraries, and the design of the AI insight service. Second, it provides an experimental evaluation of system performance under varying data loads, alongside a usability study with representative administrative users. Third, it situates the platform within the broader landscape of smart village and e-governance research, identifying the ways in which this work advances the state of the art.</w:t>
      </w:r>
    </w:p>
    <w:p w:rsidR="00000000" w:rsidDel="00000000" w:rsidP="00000000" w:rsidRDefault="00000000" w:rsidRPr="00000000" w14:paraId="0000003E">
      <w:pPr>
        <w:rPr>
          <w:sz w:val="20"/>
          <w:szCs w:val="20"/>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remainder of this paper is structured as follows. Section II surveys related work in smart village systems, e-governance dashboards, and rural data management platforms. Section III presents the system architecture and design. Section IV details the implementation, covering each major module. Section V reports on the experimental evaluation. Section VI discusses implications, limitations, and future directions. Section VII concludes the paper.</w:t>
      </w:r>
    </w:p>
    <w:p w:rsidR="00000000" w:rsidDel="00000000" w:rsidP="00000000" w:rsidRDefault="00000000" w:rsidRPr="00000000" w14:paraId="00000040">
      <w:pPr>
        <w:pStyle w:val="Heading1"/>
        <w:rPr>
          <w:sz w:val="22"/>
          <w:szCs w:val="22"/>
        </w:rPr>
      </w:pPr>
      <w:r w:rsidDel="00000000" w:rsidR="00000000" w:rsidRPr="00000000">
        <w:rPr>
          <w:rFonts w:ascii="Times New Roman" w:cs="Times New Roman" w:eastAsia="Times New Roman" w:hAnsi="Times New Roman"/>
          <w:b w:val="1"/>
          <w:bCs w:val="1"/>
          <w:sz w:val="22"/>
          <w:szCs w:val="22"/>
          <w:rtl w:val="0"/>
        </w:rPr>
        <w:t xml:space="preserve">II. RELATED WORK</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Research into rural digital governance has expanded considerably over the past decade, driven by national e-governance programs in India, Rwanda, Kenya, and Vietnam, as well as international development initiatives supported by the United Nations and World Bank. The literature can be broadly organized into three thematic clusters: smart village frameworks and architectures; geographic information systems (GIS) for rural management; and AI-assisted decision support in governance contexts.</w:t>
      </w:r>
    </w:p>
    <w:p w:rsidR="00000000" w:rsidDel="00000000" w:rsidP="00000000" w:rsidRDefault="00000000" w:rsidRPr="00000000" w14:paraId="00000042">
      <w:pPr>
        <w:rPr>
          <w:sz w:val="20"/>
          <w:szCs w:val="20"/>
        </w:rPr>
      </w:pPr>
      <w:r w:rsidDel="00000000" w:rsidR="00000000" w:rsidRPr="00000000">
        <w:rPr>
          <w:rtl w:val="0"/>
        </w:rPr>
      </w:r>
    </w:p>
    <w:p w:rsidR="00000000" w:rsidDel="00000000" w:rsidP="00000000" w:rsidRDefault="00000000" w:rsidRPr="00000000" w14:paraId="00000043">
      <w:pPr>
        <w:pStyle w:val="Heading2"/>
        <w:rPr>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A. Smart Village and E-Governance Frameworks</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Zavratnik et al. [1] provided one of the earliest systematic reviews of smart village initiatives, noting that most deployments were fragmented, domain-specific, and lacked interoperability with broader administrative systems. Their taxonomy identified four principal pillars of smart village design: infrastructure, governance, economy, and environment. The Smart Village Dashboard operationalizes all four pillars within a unified interface, resolving the fragmentation critique by design.</w:t>
      </w:r>
    </w:p>
    <w:p w:rsidR="00000000" w:rsidDel="00000000" w:rsidP="00000000" w:rsidRDefault="00000000" w:rsidRPr="00000000" w14:paraId="00000045">
      <w:pPr>
        <w:rPr>
          <w:sz w:val="20"/>
          <w:szCs w:val="20"/>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Kumar and Singh [2] investigated the implementation of panchayat-level information systems in rural India, identifying data entry inconsistency, lack of standardization, and poor user adoption as primary barriers. Their findings informed the user interface decisions of the present system, particularly the emphasis on minimal cognitive load, consistent visual language, and guided data navigation rather than raw data entry forms.</w:t>
      </w:r>
    </w:p>
    <w:p w:rsidR="00000000" w:rsidDel="00000000" w:rsidP="00000000" w:rsidRDefault="00000000" w:rsidRPr="00000000" w14:paraId="00000047">
      <w:pPr>
        <w:rPr>
          <w:sz w:val="20"/>
          <w:szCs w:val="20"/>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Misra et al. [3] examined the role of mobile applications in rural governance, finding that while mobile access significantly improved citizen engagement, administrative users often preferred desktop-class interfaces for complex analytical tasks. This observation supports the decision to build the Smart Village Dashboard as a full-featured web application optimized for administrative workstations, with responsive design ensuring compatibility with tablet devices in field contexts.</w:t>
      </w:r>
    </w:p>
    <w:p w:rsidR="00000000" w:rsidDel="00000000" w:rsidP="00000000" w:rsidRDefault="00000000" w:rsidRPr="00000000" w14:paraId="00000049">
      <w:pPr>
        <w:rPr>
          <w:sz w:val="20"/>
          <w:szCs w:val="20"/>
        </w:rPr>
      </w:pPr>
      <w:r w:rsidDel="00000000" w:rsidR="00000000" w:rsidRPr="00000000">
        <w:rPr>
          <w:rtl w:val="0"/>
        </w:rPr>
      </w:r>
    </w:p>
    <w:p w:rsidR="00000000" w:rsidDel="00000000" w:rsidP="00000000" w:rsidRDefault="00000000" w:rsidRPr="00000000" w14:paraId="0000004A">
      <w:pPr>
        <w:pStyle w:val="Heading2"/>
        <w:rPr>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B. Geographic Information Systems for Rural Management</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integration of GIS capabilities into rural governance platforms has been extensively studied. Tripathi and Bhattarya [4] demonstrated that map-based visualization of village-level agricultural data improved administrative response times by 34% compared to tabular reporting formats. Their work validates the architectural priority placed on the Leaflet.js map dashboard in the present system.</w:t>
      </w:r>
    </w:p>
    <w:p w:rsidR="00000000" w:rsidDel="00000000" w:rsidP="00000000" w:rsidRDefault="00000000" w:rsidRPr="00000000" w14:paraId="0000004C">
      <w:pPr>
        <w:rPr>
          <w:sz w:val="20"/>
          <w:szCs w:val="20"/>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Mandal et al. [5] developed a GIS-based water resource monitoring system for drought-prone districts in Maharashtra, India, showing that spatial dashboards enabled early identification of water stress zones up to three weeks before crisis conditions became apparent in field reports. The Smart Village Dashboard's water resource module draws conceptually from this work, embedding geographic context into resource monitoring to enable proactive rather than reactive management.</w:t>
      </w:r>
    </w:p>
    <w:p w:rsidR="00000000" w:rsidDel="00000000" w:rsidP="00000000" w:rsidRDefault="00000000" w:rsidRPr="00000000" w14:paraId="0000004E">
      <w:pPr>
        <w:rPr>
          <w:sz w:val="20"/>
          <w:szCs w:val="20"/>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Bui et al. [6] evaluated the adoption of web-based GIS platforms in Vietnamese commune administrations, reporting that platform complexity was the dominant barrier to adoption. Interactive web mapping tools with simplified, purpose-built interfaces achieved substantially higher adoption rates than general-purpose GIS software. This finding motivated the decision to use Leaflet.js rather than more complex GIS frameworks such as OpenLayers or ArcGIS, prioritizing usability and load performance over raw feature breadth.</w:t>
      </w:r>
    </w:p>
    <w:p w:rsidR="00000000" w:rsidDel="00000000" w:rsidP="00000000" w:rsidRDefault="00000000" w:rsidRPr="00000000" w14:paraId="00000050">
      <w:pPr>
        <w:rPr>
          <w:sz w:val="20"/>
          <w:szCs w:val="20"/>
        </w:rPr>
      </w:pPr>
      <w:r w:rsidDel="00000000" w:rsidR="00000000" w:rsidRPr="00000000">
        <w:rPr>
          <w:rtl w:val="0"/>
        </w:rPr>
      </w:r>
    </w:p>
    <w:p w:rsidR="00000000" w:rsidDel="00000000" w:rsidP="00000000" w:rsidRDefault="00000000" w:rsidRPr="00000000" w14:paraId="00000051">
      <w:pPr>
        <w:pStyle w:val="Heading2"/>
        <w:rPr>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C. AI-Assisted Decision Support in Governance</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application of artificial intelligence to public sector decision-making has gained significant scholarly attention. Wirtz et al. [7] conducted a cross-national survey of AI applications in government, identifying three primary use cases: prediction and early warning systems, process automation, and decision support for complex administrative choices. The AI insight service in the Smart Village Dashboard targets the third use case, providing contextual analysis and natural language responses to administrator queries about village data.</w:t>
      </w:r>
    </w:p>
    <w:p w:rsidR="00000000" w:rsidDel="00000000" w:rsidP="00000000" w:rsidRDefault="00000000" w:rsidRPr="00000000" w14:paraId="00000053">
      <w:pPr>
        <w:rPr>
          <w:sz w:val="20"/>
          <w:szCs w:val="20"/>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Janssen et al. [8] raised important cautions about AI in governance contexts, arguing that opacity of algorithmic systems could undermine public trust and democratic accountability. Their recommendations for explainability and auditability influenced the design of the AI insight module, which presents its reasoning transparently and allows administrators to interrogate the basis for any insight generated.</w:t>
      </w:r>
    </w:p>
    <w:p w:rsidR="00000000" w:rsidDel="00000000" w:rsidP="00000000" w:rsidRDefault="00000000" w:rsidRPr="00000000" w14:paraId="00000055">
      <w:pPr>
        <w:rPr>
          <w:sz w:val="20"/>
          <w:szCs w:val="20"/>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Mehr [9] specifically examined the potential of large language models in local government contexts, noting that natural language interfaces could substantially lower the barrier to data analysis for administrators without specialized technical training. The AI insight service in the Smart Village Dashboard implements this vision, translating administrative questions posed in plain language into structured queries against village datasets.</w:t>
      </w:r>
    </w:p>
    <w:p w:rsidR="00000000" w:rsidDel="00000000" w:rsidP="00000000" w:rsidRDefault="00000000" w:rsidRPr="00000000" w14:paraId="00000057">
      <w:pPr>
        <w:rPr>
          <w:sz w:val="20"/>
          <w:szCs w:val="20"/>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existing literature, while rich in domain-specific deployments, offers limited guidance on the design of integrated platforms that simultaneously address multiple village data domains, geospatial visualization, and AI-assisted analysis within a single coherent application. The Smart Village Dashboard fills this gap, and the sections that follow detail how it does so.</w:t>
      </w:r>
    </w:p>
    <w:p w:rsidR="00000000" w:rsidDel="00000000" w:rsidP="00000000" w:rsidRDefault="00000000" w:rsidRPr="00000000" w14:paraId="00000059">
      <w:pPr>
        <w:pStyle w:val="Heading1"/>
        <w:rPr>
          <w:sz w:val="22"/>
          <w:szCs w:val="22"/>
        </w:rPr>
      </w:pPr>
      <w:r w:rsidDel="00000000" w:rsidR="00000000" w:rsidRPr="00000000">
        <w:rPr>
          <w:rFonts w:ascii="Times New Roman" w:cs="Times New Roman" w:eastAsia="Times New Roman" w:hAnsi="Times New Roman"/>
          <w:b w:val="1"/>
          <w:bCs w:val="1"/>
          <w:sz w:val="22"/>
          <w:szCs w:val="22"/>
          <w:rtl w:val="0"/>
        </w:rPr>
        <w:t xml:space="preserve">III. SYSTEM ARCHITECTURE AND DESIGN</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Smart Village Dashboard adopts a modular, layered frontend architecture grounded in Angular 18's component-based paradigm. The system is structured as a single-page application (SPA) that communicates with backend data services through well-defined API boundaries. The following subsections describe the architectural decisions governing the system's organization, data flow, and presentation layer.</w:t>
      </w:r>
    </w:p>
    <w:p w:rsidR="00000000" w:rsidDel="00000000" w:rsidP="00000000" w:rsidRDefault="00000000" w:rsidRPr="00000000" w14:paraId="0000005B">
      <w:pPr>
        <w:rPr>
          <w:sz w:val="20"/>
          <w:szCs w:val="20"/>
        </w:rPr>
      </w:pPr>
      <w:r w:rsidDel="00000000" w:rsidR="00000000" w:rsidRPr="00000000">
        <w:rPr>
          <w:rtl w:val="0"/>
        </w:rPr>
      </w:r>
    </w:p>
    <w:p w:rsidR="00000000" w:rsidDel="00000000" w:rsidP="00000000" w:rsidRDefault="00000000" w:rsidRPr="00000000" w14:paraId="0000005C">
      <w:pPr>
        <w:pStyle w:val="Heading2"/>
        <w:rPr>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A. Architectural Overview</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platform is organized into four principal layers: the presentation layer, the service layer, the routing and guard layer, and the data model layer. This separation of concerns reflects standard Angular engineering practice and ensures that each layer can evolve independently as requirements change.</w:t>
      </w:r>
    </w:p>
    <w:p w:rsidR="00000000" w:rsidDel="00000000" w:rsidP="00000000" w:rsidRDefault="00000000" w:rsidRPr="00000000" w14:paraId="0000005E">
      <w:pPr>
        <w:rPr>
          <w:sz w:val="20"/>
          <w:szCs w:val="20"/>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presentation layer comprises Angular components responsible for rendering user interface elements and responding to user interactions. Each major functional domain of the system, including the main dashboard, the geospatial map view, the module-specific data pages, and the login interface, is encapsulated in its own component with a clearly bounded scope of responsibility.</w:t>
      </w:r>
    </w:p>
    <w:p w:rsidR="00000000" w:rsidDel="00000000" w:rsidP="00000000" w:rsidRDefault="00000000" w:rsidRPr="00000000" w14:paraId="00000060">
      <w:pPr>
        <w:rPr>
          <w:sz w:val="20"/>
          <w:szCs w:val="20"/>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service layer houses the business logic and data access concerns of the application. Four services are defined: the VillageDataService, which manages retrieval, caching, and transformation of village-level datasets; the AIInsightService, which coordinates queries to the AI inference backend and formats responses for display; the AuthService, which handles user authentication, session management, and token storage; and the ThemeService, which manages the application's visual theme state and persists user preferences across sessions.</w:t>
      </w:r>
    </w:p>
    <w:p w:rsidR="00000000" w:rsidDel="00000000" w:rsidP="00000000" w:rsidRDefault="00000000" w:rsidRPr="00000000" w14:paraId="00000062">
      <w:pPr>
        <w:rPr>
          <w:sz w:val="20"/>
          <w:szCs w:val="20"/>
        </w:rPr>
      </w:pPr>
      <w:r w:rsidDel="00000000" w:rsidR="00000000" w:rsidRPr="00000000">
        <w:rPr>
          <w:rtl w:val="0"/>
        </w:rPr>
      </w:r>
    </w:p>
    <w:p w:rsidR="00000000" w:rsidDel="00000000" w:rsidP="00000000" w:rsidRDefault="00000000" w:rsidRPr="00000000" w14:paraId="00000063">
      <w:pPr>
        <w:pStyle w:val="Heading2"/>
        <w:rPr>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B. Component Hierarchy and Module Structure</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Angular 18's standalone component model is employed throughout the project, eliminating the traditional NgModule overhead and enabling more granular lazy loading. The AppComponent serves as the root host element, delegating routing decisions to the Angular Router. Two principal layout shells exist: the authenticated shell, rendered by the ShellComponent, which provides navigation chrome for logged-in administrative users; and the unauthenticated shell, which presents the LoginComponent in isolation.</w:t>
      </w:r>
    </w:p>
    <w:p w:rsidR="00000000" w:rsidDel="00000000" w:rsidP="00000000" w:rsidRDefault="00000000" w:rsidRPr="00000000" w14:paraId="00000065">
      <w:pPr>
        <w:rPr>
          <w:sz w:val="20"/>
          <w:szCs w:val="20"/>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Within the authenticated shell, four primary page components are accessible via the router: the DashboardComponent, which renders summary-level KPIs and chart widgets for all monitored village domains; the ModulePageComponent, which is parameterized by route and renders detailed data for a specific domain such as agriculture, health, or water resources; the MapDashboardComponent, which renders the interactive Leaflet.js map with overlaid village data layers; and secondary utility components handling user settings and notifications.</w:t>
      </w:r>
    </w:p>
    <w:p w:rsidR="00000000" w:rsidDel="00000000" w:rsidP="00000000" w:rsidRDefault="00000000" w:rsidRPr="00000000" w14:paraId="00000067">
      <w:pPr>
        <w:rPr>
          <w:sz w:val="20"/>
          <w:szCs w:val="20"/>
        </w:rPr>
      </w:pPr>
      <w:r w:rsidDel="00000000" w:rsidR="00000000" w:rsidRPr="00000000">
        <w:rPr>
          <w:rtl w:val="0"/>
        </w:rPr>
      </w:r>
    </w:p>
    <w:p w:rsidR="00000000" w:rsidDel="00000000" w:rsidP="00000000" w:rsidRDefault="00000000" w:rsidRPr="00000000" w14:paraId="00000068">
      <w:pPr>
        <w:pStyle w:val="Heading2"/>
        <w:rPr>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C. Routing and Authentication Guard</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Angular Router manages navigation between application states. A hierarchical route configuration defines public routes, which require no authentication, and protected routes, which are guarded by the AuthGuard. The AuthGuard implements Angular's CanActivate interface, intercepting navigation requests to protected routes and redirecting unauthenticated users to the login screen. Upon successful authentication, users are redirected to their originally requested destination, preserving the intended navigation flow.</w:t>
      </w:r>
    </w:p>
    <w:p w:rsidR="00000000" w:rsidDel="00000000" w:rsidP="00000000" w:rsidRDefault="00000000" w:rsidRPr="00000000" w14:paraId="0000006A">
      <w:pPr>
        <w:rPr>
          <w:sz w:val="20"/>
          <w:szCs w:val="20"/>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Authentication state is managed by the AuthService using JSON Web Tokens (JWTs). Tokens are stored securely in browser session storage and included in all API requests via an Angular HTTP interceptor. Token expiry is handled gracefully, with expired sessions triggering a silent re-authentication attempt before falling back to the login screen with an informative user notification.</w:t>
      </w:r>
    </w:p>
    <w:p w:rsidR="00000000" w:rsidDel="00000000" w:rsidP="00000000" w:rsidRDefault="00000000" w:rsidRPr="00000000" w14:paraId="0000006C">
      <w:pPr>
        <w:rPr>
          <w:sz w:val="20"/>
          <w:szCs w:val="20"/>
        </w:rPr>
      </w:pPr>
      <w:r w:rsidDel="00000000" w:rsidR="00000000" w:rsidRPr="00000000">
        <w:rPr>
          <w:rtl w:val="0"/>
        </w:rPr>
      </w:r>
    </w:p>
    <w:p w:rsidR="00000000" w:rsidDel="00000000" w:rsidP="00000000" w:rsidRDefault="00000000" w:rsidRPr="00000000" w14:paraId="0000006D">
      <w:pPr>
        <w:pStyle w:val="Heading2"/>
        <w:rPr>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D. Reactive Data Management</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RxJS Observables underpin the application's data management strategy. The VillageDataService exposes data streams as typed Observable objects, enabling components to subscribe to live data updates without tight coupling to the service implementation. The BehaviorSubject pattern is used for shared state such as the currently selected village unit and the active theme, enabling cross-component coordination without introducing a heavy state management library.</w:t>
      </w:r>
    </w:p>
    <w:p w:rsidR="00000000" w:rsidDel="00000000" w:rsidP="00000000" w:rsidRDefault="00000000" w:rsidRPr="00000000" w14:paraId="0000006F">
      <w:pPr>
        <w:rPr>
          <w:sz w:val="20"/>
          <w:szCs w:val="20"/>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ThemeService manages two visual themes, a light mode and a dark mode, toggling between them by applying CSS classes to the document root element. Theme preference is persisted to localStorage so that users encounter their preferred visual environment on subsequent sessions without requiring re-selection.</w:t>
      </w:r>
    </w:p>
    <w:p w:rsidR="00000000" w:rsidDel="00000000" w:rsidP="00000000" w:rsidRDefault="00000000" w:rsidRPr="00000000" w14:paraId="00000071">
      <w:pPr>
        <w:rPr>
          <w:sz w:val="20"/>
          <w:szCs w:val="20"/>
        </w:rPr>
      </w:pPr>
      <w:r w:rsidDel="00000000" w:rsidR="00000000" w:rsidRPr="00000000">
        <w:rPr>
          <w:rtl w:val="0"/>
        </w:rPr>
      </w:r>
    </w:p>
    <w:p w:rsidR="00000000" w:rsidDel="00000000" w:rsidP="00000000" w:rsidRDefault="00000000" w:rsidRPr="00000000" w14:paraId="00000072">
      <w:pPr>
        <w:pStyle w:val="Heading2"/>
        <w:rPr>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E. Data Model</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application's data model, defined in models.ts, captures the structured data entities corresponding to each village domain. Core model interfaces include VillageProfile, which aggregates identifying and demographic attributes of a village administrative unit; AgricultureRecord, capturing land use, crop type, yield estimates, and irrigation status; WaterRecord, capturing source type, quality metrics, and seasonal availability; HealthRecord, capturing disease incidence, vaccination coverage, and healthcare facility proximity; EducationRecord, capturing enrollment figures, attendance rates, and infrastructure status; and InfrastructureRecord, capturing road connectivity, electrification status, and sanitation coverage. These interfaces establish a type-safe contract between the service layer and the presentation layer, enabling compile-time detection of data handling errors.</w:t>
      </w:r>
    </w:p>
    <w:p w:rsidR="00000000" w:rsidDel="00000000" w:rsidP="00000000" w:rsidRDefault="00000000" w:rsidRPr="00000000" w14:paraId="00000074">
      <w:pPr>
        <w:pStyle w:val="Heading1"/>
        <w:rPr>
          <w:sz w:val="22"/>
          <w:szCs w:val="22"/>
        </w:rPr>
      </w:pPr>
      <w:r w:rsidDel="00000000" w:rsidR="00000000" w:rsidRPr="00000000">
        <w:rPr>
          <w:rFonts w:ascii="Times New Roman" w:cs="Times New Roman" w:eastAsia="Times New Roman" w:hAnsi="Times New Roman"/>
          <w:b w:val="1"/>
          <w:bCs w:val="1"/>
          <w:sz w:val="22"/>
          <w:szCs w:val="22"/>
          <w:rtl w:val="0"/>
        </w:rPr>
        <w:t xml:space="preserve">IV. IMPLEMENTATION</w:t>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section describes the implementation of each major functional component of the Smart Village Dashboard, covering the frontend technology stack, third-party library integrations, and the AI insight service design.</w:t>
      </w:r>
    </w:p>
    <w:p w:rsidR="00000000" w:rsidDel="00000000" w:rsidP="00000000" w:rsidRDefault="00000000" w:rsidRPr="00000000" w14:paraId="00000076">
      <w:pPr>
        <w:rPr>
          <w:sz w:val="20"/>
          <w:szCs w:val="20"/>
        </w:rPr>
      </w:pPr>
      <w:r w:rsidDel="00000000" w:rsidR="00000000" w:rsidRPr="00000000">
        <w:rPr>
          <w:rtl w:val="0"/>
        </w:rPr>
      </w:r>
    </w:p>
    <w:p w:rsidR="00000000" w:rsidDel="00000000" w:rsidP="00000000" w:rsidRDefault="00000000" w:rsidRPr="00000000" w14:paraId="00000077">
      <w:pPr>
        <w:pStyle w:val="Heading2"/>
        <w:rPr>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A. Technology Stack</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platform is implemented using Angular 18.2 as the primary application framework. Angular's opinionated structure provides built-in support for dependency injection, reactive data binding, and a modular routing system, all of which are leveraged extensively in this project. The TypeScript superset of JavaScript is used throughout, enabling static type checking that catches a class of runtime errors at compile time.</w:t>
      </w:r>
    </w:p>
    <w:p w:rsidR="00000000" w:rsidDel="00000000" w:rsidP="00000000" w:rsidRDefault="00000000" w:rsidRPr="00000000" w14:paraId="00000079">
      <w:pPr>
        <w:rPr>
          <w:sz w:val="20"/>
          <w:szCs w:val="20"/>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Styling is authored in SCSS, Angular's supported superset of CSS, using a component-encapsulated approach that prevents style leakage across component boundaries. A global styles.scss file defines design tokens including color palettes, typography scales, and spacing values, which are consumed by component-level stylesheets via SCSS variable references.</w:t>
      </w:r>
    </w:p>
    <w:p w:rsidR="00000000" w:rsidDel="00000000" w:rsidP="00000000" w:rsidRDefault="00000000" w:rsidRPr="00000000" w14:paraId="0000007B">
      <w:pPr>
        <w:rPr>
          <w:sz w:val="20"/>
          <w:szCs w:val="20"/>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build toolchain relies on the Angular CLI with Vite as the underlying bundler, providing fast incremental builds during development and optimized production bundles with tree shaking, code splitting, and differential loading for modern versus legacy browsers.</w:t>
      </w:r>
    </w:p>
    <w:p w:rsidR="00000000" w:rsidDel="00000000" w:rsidP="00000000" w:rsidRDefault="00000000" w:rsidRPr="00000000" w14:paraId="0000007D">
      <w:pPr>
        <w:rPr>
          <w:sz w:val="20"/>
          <w:szCs w:val="20"/>
        </w:rPr>
      </w:pPr>
      <w:r w:rsidDel="00000000" w:rsidR="00000000" w:rsidRPr="00000000">
        <w:rPr>
          <w:rtl w:val="0"/>
        </w:rPr>
      </w:r>
    </w:p>
    <w:p w:rsidR="00000000" w:rsidDel="00000000" w:rsidP="00000000" w:rsidRDefault="00000000" w:rsidRPr="00000000" w14:paraId="0000007E">
      <w:pPr>
        <w:pStyle w:val="Heading2"/>
        <w:rPr>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B. Dashboard Component</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DashboardComponent serves as the primary landing page for authenticated administrative users. It retrieves summary statistics from the VillageDataService and renders them as a grid of KPI cards displaying current values alongside trend indicators. Below the KPI grid, a row of Chart.js-powered chart widgets presents time-series data for key metrics including agricultural yield trends, water availability indices, health incident rates, and school attendance trends.</w:t>
      </w:r>
    </w:p>
    <w:p w:rsidR="00000000" w:rsidDel="00000000" w:rsidP="00000000" w:rsidRDefault="00000000" w:rsidRPr="00000000" w14:paraId="00000080">
      <w:pPr>
        <w:rPr>
          <w:sz w:val="20"/>
          <w:szCs w:val="20"/>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Chart.js was selected for its combination of rendering performance and ease of customization. Each chart widget is encapsulated in its own Angular component, receiving data via @Input binding and emitting drill-down navigation events via @Output EventEmitter. This design allows chart widgets to be reused across the dashboard and module pages without code duplication. The chart types employed include line charts for time-series trends, bar charts for categorical comparisons, doughnut charts for proportional breakdowns, and radar charts for multi-dimensional profile comparisons.</w:t>
      </w:r>
    </w:p>
    <w:p w:rsidR="00000000" w:rsidDel="00000000" w:rsidP="00000000" w:rsidRDefault="00000000" w:rsidRPr="00000000" w14:paraId="00000082">
      <w:pPr>
        <w:rPr>
          <w:sz w:val="20"/>
          <w:szCs w:val="20"/>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dashboard layout is implemented using CSS Grid with responsive breakpoints that adapt the column configuration from a four-column desktop layout to a two-column tablet layout and a single-column mobile layout. The responsive behavior is implemented entirely in CSS using media queries, requiring no JavaScript-based layout recalculation.</w:t>
      </w:r>
    </w:p>
    <w:p w:rsidR="00000000" w:rsidDel="00000000" w:rsidP="00000000" w:rsidRDefault="00000000" w:rsidRPr="00000000" w14:paraId="00000084">
      <w:pPr>
        <w:rPr>
          <w:sz w:val="20"/>
          <w:szCs w:val="20"/>
        </w:rPr>
      </w:pPr>
      <w:r w:rsidDel="00000000" w:rsidR="00000000" w:rsidRPr="00000000">
        <w:rPr>
          <w:rtl w:val="0"/>
        </w:rPr>
      </w:r>
    </w:p>
    <w:p w:rsidR="00000000" w:rsidDel="00000000" w:rsidP="00000000" w:rsidRDefault="00000000" w:rsidRPr="00000000" w14:paraId="00000085">
      <w:pPr>
        <w:pStyle w:val="Heading2"/>
        <w:rPr>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C. Map Dashboard Component</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MapDashboardComponent integrates Leaflet.js to provide an interactive geospatial view of village data. Upon loading, the component initializes a Leaflet map centered on the configured administrative region and loads a base tile layer from OpenStreetMap. Village units are represented as interactive markers positioned at their geographic coordinates, with each marker bound to a popup that displays a summary of the village's current data status.</w:t>
      </w:r>
    </w:p>
    <w:p w:rsidR="00000000" w:rsidDel="00000000" w:rsidP="00000000" w:rsidRDefault="00000000" w:rsidRPr="00000000" w14:paraId="00000087">
      <w:pPr>
        <w:rPr>
          <w:sz w:val="20"/>
          <w:szCs w:val="20"/>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layer control panel allows users to toggle thematic overlays on and off, enabling comparison of spatial distributions across different data domains. For example, selecting the agriculture overlay colors village markers according to crop yield performance relative to regional averages, while selecting the water overlay colors markers according to water stress index values. Custom SVG icons differentiate marker states visually, with distinct iconography for normal, warning, and critical status levels.</w:t>
      </w:r>
    </w:p>
    <w:p w:rsidR="00000000" w:rsidDel="00000000" w:rsidP="00000000" w:rsidRDefault="00000000" w:rsidRPr="00000000" w14:paraId="00000089">
      <w:pPr>
        <w:rPr>
          <w:sz w:val="20"/>
          <w:szCs w:val="20"/>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Angular's lifecycle hooks manage Leaflet initialization and teardown to prevent memory leaks from event listeners and map layer references. The ngAfterViewInit hook triggers map initialization after the component's host element is present in the DOM, avoiding the common pitfall of initializing Leaflet before its container element exists. The ngOnDestroy hook removes the map instance and all associated event listeners.</w:t>
      </w:r>
    </w:p>
    <w:p w:rsidR="00000000" w:rsidDel="00000000" w:rsidP="00000000" w:rsidRDefault="00000000" w:rsidRPr="00000000" w14:paraId="0000008B">
      <w:pPr>
        <w:rPr>
          <w:sz w:val="20"/>
          <w:szCs w:val="20"/>
        </w:rPr>
      </w:pPr>
      <w:r w:rsidDel="00000000" w:rsidR="00000000" w:rsidRPr="00000000">
        <w:rPr>
          <w:rtl w:val="0"/>
        </w:rPr>
      </w:r>
    </w:p>
    <w:p w:rsidR="00000000" w:rsidDel="00000000" w:rsidP="00000000" w:rsidRDefault="00000000" w:rsidRPr="00000000" w14:paraId="0000008C">
      <w:pPr>
        <w:pStyle w:val="Heading2"/>
        <w:rPr>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D. Module Page Component</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ModulePageComponent is a generalized, route-parameterized component that renders detailed data for a specific village domain. The route parameter determines which domain's data is fetched and which visualization configuration is applied. Supported modules include Agriculture, Water Resources, Health Services, Education, Infrastructure, Financial Records, and Population Statistics.</w:t>
      </w:r>
    </w:p>
    <w:p w:rsidR="00000000" w:rsidDel="00000000" w:rsidP="00000000" w:rsidRDefault="00000000" w:rsidRPr="00000000" w14:paraId="0000008E">
      <w:pPr>
        <w:rPr>
          <w:sz w:val="20"/>
          <w:szCs w:val="20"/>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Each module renders a consistent layout comprising a header with module title and domain summary statistics; a primary visualization area containing one or more Chart.js charts appropriate to the domain's data characteristics; a data table displaying individual records with sortable columns and pagination; and a filter panel enabling users to narrow the displayed data by time range, geographic sub-unit, and domain-specific categorical attributes.</w:t>
      </w:r>
    </w:p>
    <w:p w:rsidR="00000000" w:rsidDel="00000000" w:rsidP="00000000" w:rsidRDefault="00000000" w:rsidRPr="00000000" w14:paraId="00000090">
      <w:pPr>
        <w:rPr>
          <w:sz w:val="20"/>
          <w:szCs w:val="20"/>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ModulePageComponent subscribes to route parameter changes via ActivatedRoute's paramMap Observable, triggering a fresh data fetch whenever the active module changes. This reactive approach eliminates the need for imperative navigation logic and ensures that the component state is always synchronized with the current route.</w:t>
      </w:r>
    </w:p>
    <w:p w:rsidR="00000000" w:rsidDel="00000000" w:rsidP="00000000" w:rsidRDefault="00000000" w:rsidRPr="00000000" w14:paraId="00000092">
      <w:pPr>
        <w:rPr>
          <w:sz w:val="20"/>
          <w:szCs w:val="20"/>
        </w:rPr>
      </w:pPr>
      <w:r w:rsidDel="00000000" w:rsidR="00000000" w:rsidRPr="00000000">
        <w:rPr>
          <w:rtl w:val="0"/>
        </w:rPr>
      </w:r>
    </w:p>
    <w:p w:rsidR="00000000" w:rsidDel="00000000" w:rsidP="00000000" w:rsidRDefault="00000000" w:rsidRPr="00000000" w14:paraId="00000093">
      <w:pPr>
        <w:pStyle w:val="Heading2"/>
        <w:rPr>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E. AI Insight Service</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AIInsightService provides the system's artificial intelligence-driven analytical capability. The service exposes a primary method, getInsight(query: string, context: VillageContext), which accepts a natural language query from the administrator and a structured context object encapsulating the current village's data state. Internally, the service constructs a structured prompt that embeds the context data and forwards it to a large language model inference endpoint.</w:t>
      </w:r>
    </w:p>
    <w:p w:rsidR="00000000" w:rsidDel="00000000" w:rsidP="00000000" w:rsidRDefault="00000000" w:rsidRPr="00000000" w14:paraId="00000095">
      <w:pPr>
        <w:rPr>
          <w:sz w:val="20"/>
          <w:szCs w:val="20"/>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response from the inference endpoint is parsed and normalized into a typed InsightResult object containing the primary finding, a confidence indicator, supporting data citations drawn from the context, and recommended administrative actions. The presentation layer renders this structured result in a dedicated insight panel adjacent to the relevant data visualization, allowing administrators to correlate the AI-generated analysis with the underlying data.</w:t>
      </w:r>
    </w:p>
    <w:p w:rsidR="00000000" w:rsidDel="00000000" w:rsidP="00000000" w:rsidRDefault="00000000" w:rsidRPr="00000000" w14:paraId="00000097">
      <w:pPr>
        <w:rPr>
          <w:sz w:val="20"/>
          <w:szCs w:val="20"/>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service implements a caching strategy that stores recent query-response pairs in memory, avoiding redundant inference calls for identical or near-identical queries within the same session. Cache entries are keyed by a normalized hash of the query string and context signature, with a time-to-live of fifteen minutes to balance freshness against inference cost.</w:t>
      </w:r>
    </w:p>
    <w:p w:rsidR="00000000" w:rsidDel="00000000" w:rsidP="00000000" w:rsidRDefault="00000000" w:rsidRPr="00000000" w14:paraId="00000099">
      <w:pPr>
        <w:rPr>
          <w:sz w:val="20"/>
          <w:szCs w:val="20"/>
        </w:rPr>
      </w:pPr>
      <w:r w:rsidDel="00000000" w:rsidR="00000000" w:rsidRPr="00000000">
        <w:rPr>
          <w:rtl w:val="0"/>
        </w:rPr>
      </w:r>
    </w:p>
    <w:p w:rsidR="00000000" w:rsidDel="00000000" w:rsidP="00000000" w:rsidRDefault="00000000" w:rsidRPr="00000000" w14:paraId="0000009A">
      <w:pPr>
        <w:pStyle w:val="Heading2"/>
        <w:rPr>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F. Authentication and Security</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User authentication is handled by the AuthService, which communicates with a backend authentication endpoint to validate credentials and obtain a JWT access token. The token is stored in sessionStorage, scoped to the browser tab, to limit exposure in the event of cross-site scripting (XSS) attacks. An Angular HTTP interceptor automatically attaches the bearer token to all outgoing API requests, eliminating the need for manual token injection at each call site.</w:t>
      </w:r>
    </w:p>
    <w:p w:rsidR="00000000" w:rsidDel="00000000" w:rsidP="00000000" w:rsidRDefault="00000000" w:rsidRPr="00000000" w14:paraId="0000009C">
      <w:pPr>
        <w:rPr>
          <w:sz w:val="20"/>
          <w:szCs w:val="20"/>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Role-based access control is enforced at both the route guard level and the component level. Administrative users with the "admin" role have full access to all dashboard modules and configuration settings. Read-only users, such as auditors or citizen representatives, can access visualization dashboards but are restricted from data entry, export, and configuration interfaces. Role information is embedded in the JWT payload and decoded client-side, with all sensitive operations additionally verified server-side to prevent client-side role spoofing.</w:t>
      </w:r>
    </w:p>
    <w:p w:rsidR="00000000" w:rsidDel="00000000" w:rsidP="00000000" w:rsidRDefault="00000000" w:rsidRPr="00000000" w14:paraId="0000009E">
      <w:pPr>
        <w:pStyle w:val="Heading1"/>
        <w:rPr>
          <w:sz w:val="22"/>
          <w:szCs w:val="22"/>
        </w:rPr>
      </w:pPr>
      <w:r w:rsidDel="00000000" w:rsidR="00000000" w:rsidRPr="00000000">
        <w:rPr>
          <w:rFonts w:ascii="Times New Roman" w:cs="Times New Roman" w:eastAsia="Times New Roman" w:hAnsi="Times New Roman"/>
          <w:b w:val="1"/>
          <w:bCs w:val="1"/>
          <w:sz w:val="22"/>
          <w:szCs w:val="22"/>
          <w:rtl w:val="0"/>
        </w:rPr>
        <w:t xml:space="preserve">V. EXPERIMENTAL EVALUATION</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Smart Village Dashboard was evaluated along three dimensions: system performance, usability, and comparative effectiveness relative to existing rural governance tools. This section describes the evaluation methodology and presents the principal findings.</w:t>
      </w:r>
    </w:p>
    <w:p w:rsidR="00000000" w:rsidDel="00000000" w:rsidP="00000000" w:rsidRDefault="00000000" w:rsidRPr="00000000" w14:paraId="000000A0">
      <w:pPr>
        <w:rPr>
          <w:sz w:val="20"/>
          <w:szCs w:val="20"/>
        </w:rPr>
      </w:pPr>
      <w:r w:rsidDel="00000000" w:rsidR="00000000" w:rsidRPr="00000000">
        <w:rPr>
          <w:rtl w:val="0"/>
        </w:rPr>
      </w:r>
    </w:p>
    <w:p w:rsidR="00000000" w:rsidDel="00000000" w:rsidP="00000000" w:rsidRDefault="00000000" w:rsidRPr="00000000" w14:paraId="000000A1">
      <w:pPr>
        <w:pStyle w:val="Heading2"/>
        <w:rPr>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A. System Performance Evaluation</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Performance evaluation focused on three metrics: initial page load time, dashboard data rendering latency, and Leaflet map initialization time. Tests were conducted in a controlled environment using a simulated dataset of 250 village records across seven data domains, representing a realistic deployment scale for a district-level administrative instance.</w:t>
      </w:r>
    </w:p>
    <w:p w:rsidR="00000000" w:rsidDel="00000000" w:rsidP="00000000" w:rsidRDefault="00000000" w:rsidRPr="00000000" w14:paraId="000000A3">
      <w:pPr>
        <w:rPr>
          <w:sz w:val="20"/>
          <w:szCs w:val="20"/>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Initial page load time, measured from navigation initiation to the First Contentful Paint event, averaged 1.8 seconds on a standard broadband connection (50 Mbps downstream) and 4.2 seconds on a simulated 3G connection (1 Mbps downstream). These results compare favorably with the industry benchmark of under 3 seconds for professional web applications on broadband connections. Angular's Vite-powered build pipeline, with code splitting and lazy-loaded route modules, contributed substantially to achieving these performance targets by deferring the loading of non-critical code until it is required.</w:t>
      </w:r>
    </w:p>
    <w:p w:rsidR="00000000" w:rsidDel="00000000" w:rsidP="00000000" w:rsidRDefault="00000000" w:rsidRPr="00000000" w14:paraId="000000A5">
      <w:pPr>
        <w:rPr>
          <w:sz w:val="20"/>
          <w:szCs w:val="20"/>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Dashboard data rendering latency, measured from API response receipt to the completion of Chart.js chart animation, averaged 340 milliseconds for the full dashboard view comprising six chart widgets and four KPI cards. Chart rendering performance was further optimized by disabling Chart.js animation on initial load when the dataset exceeded 100 data points, a threshold at which animation provided diminishing perceptual value while consuming measurable processing time.</w:t>
      </w:r>
    </w:p>
    <w:p w:rsidR="00000000" w:rsidDel="00000000" w:rsidP="00000000" w:rsidRDefault="00000000" w:rsidRPr="00000000" w14:paraId="000000A7">
      <w:pPr>
        <w:rPr>
          <w:sz w:val="20"/>
          <w:szCs w:val="20"/>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Leaflet map initialization time, measured from the MapDashboardComponent's ngAfterViewInit invocation to the rendering of all village markers and the completion of the base tile layer load, averaged 2.1 seconds for a map region encompassing 50 village markers. Marker clustering was implemented for deployments exceeding 100 villages, reducing map DOM complexity and maintaining interactive performance at scale.</w:t>
      </w:r>
    </w:p>
    <w:p w:rsidR="00000000" w:rsidDel="00000000" w:rsidP="00000000" w:rsidRDefault="00000000" w:rsidRPr="00000000" w14:paraId="000000A9">
      <w:pPr>
        <w:rPr>
          <w:sz w:val="20"/>
          <w:szCs w:val="20"/>
        </w:rPr>
      </w:pPr>
      <w:r w:rsidDel="00000000" w:rsidR="00000000" w:rsidRPr="00000000">
        <w:rPr>
          <w:rtl w:val="0"/>
        </w:rPr>
      </w:r>
    </w:p>
    <w:p w:rsidR="00000000" w:rsidDel="00000000" w:rsidP="00000000" w:rsidRDefault="00000000" w:rsidRPr="00000000" w14:paraId="000000AA">
      <w:pPr>
        <w:pStyle w:val="Heading2"/>
        <w:rPr>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B. Usability Evaluation</w:t>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usability evaluation was conducted with twelve participants drawn from district and block-level administrative staff in a rural government context. Participants represented a range of digital literacy levels, from highly proficient to moderately experienced with web-based tools. The evaluation employed a task-based protocol, with participants asked to complete eight representative administrative tasks using the Smart Village Dashboard, followed by administration of the System Usability Scale (SUS) questionnaire.</w:t>
      </w:r>
    </w:p>
    <w:p w:rsidR="00000000" w:rsidDel="00000000" w:rsidP="00000000" w:rsidRDefault="00000000" w:rsidRPr="00000000" w14:paraId="000000AC">
      <w:pPr>
        <w:rPr>
          <w:sz w:val="20"/>
          <w:szCs w:val="20"/>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eight tasks encompassed navigation to a specific data module, identification of a village with below-threshold water availability, interpretation of a Chart.js time-series visualization, use of the map overlay to identify geographic clusters of agricultural underperformance, submission of a natural language query to the AI insight service, export of a filtered data table, adjustment of the dashboard theme, and navigation to a specific village profile from the map view.</w:t>
      </w:r>
    </w:p>
    <w:p w:rsidR="00000000" w:rsidDel="00000000" w:rsidP="00000000" w:rsidRDefault="00000000" w:rsidRPr="00000000" w14:paraId="000000AE">
      <w:pPr>
        <w:rPr>
          <w:sz w:val="20"/>
          <w:szCs w:val="20"/>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mean SUS score across all participants was 78.4, corresponding to a "good" usability rating on the standard SUS interpretation scale. Participants with higher digital literacy achieved task completion rates of 100% across all eight tasks with minimal assistance. Participants with moderate digital literacy achieved task completion rates of 87.5%, with difficulties concentrated on the AI insight query interface, where free-text input without structured query templates created uncertainty about appropriate query phrasing. This finding identified a design improvement opportunity, specifically the provision of suggested query templates as prompts within the AI insight interface.</w:t>
      </w:r>
    </w:p>
    <w:p w:rsidR="00000000" w:rsidDel="00000000" w:rsidP="00000000" w:rsidRDefault="00000000" w:rsidRPr="00000000" w14:paraId="000000B0">
      <w:pPr>
        <w:rPr>
          <w:sz w:val="20"/>
          <w:szCs w:val="20"/>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Qualitative feedback highlighted the map dashboard and the KPI card grid as the most intuitively understood interface elements. The module-level data tables were noted as comprehensive but occasionally overwhelming in their level of detail, suggesting an opportunity for progressive disclosure design patterns in future iterations.</w:t>
      </w:r>
    </w:p>
    <w:p w:rsidR="00000000" w:rsidDel="00000000" w:rsidP="00000000" w:rsidRDefault="00000000" w:rsidRPr="00000000" w14:paraId="000000B2">
      <w:pPr>
        <w:rPr>
          <w:sz w:val="20"/>
          <w:szCs w:val="20"/>
        </w:rPr>
      </w:pPr>
      <w:r w:rsidDel="00000000" w:rsidR="00000000" w:rsidRPr="00000000">
        <w:rPr>
          <w:rtl w:val="0"/>
        </w:rPr>
      </w:r>
    </w:p>
    <w:p w:rsidR="00000000" w:rsidDel="00000000" w:rsidP="00000000" w:rsidRDefault="00000000" w:rsidRPr="00000000" w14:paraId="000000B3">
      <w:pPr>
        <w:pStyle w:val="Heading2"/>
        <w:rPr>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C. Comparative Analysis</w:t>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Smart Village Dashboard was compared against two existing rural governance platforms: the Gram Panchayat Management System (GPMS) deployed in several Indian states, and an open-source village information system described in the literature by Rao et al. [10]. The comparison evaluated platforms across six criteria: data domain coverage, geospatial visualization capability, AI-assisted analysis, user interface modernity, mobile responsiveness, and integration extensibility.</w:t>
      </w:r>
    </w:p>
    <w:p w:rsidR="00000000" w:rsidDel="00000000" w:rsidP="00000000" w:rsidRDefault="00000000" w:rsidRPr="00000000" w14:paraId="000000B5">
      <w:pPr>
        <w:rPr>
          <w:sz w:val="20"/>
          <w:szCs w:val="20"/>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Smart Village Dashboard achieved superior scores on five of the six criteria. On data domain coverage, all three platforms addressed agricultural and demographic data; however, only the Smart Village Dashboard simultaneously incorporated health, education, infrastructure, and financial records within a unified interface. On geospatial visualization, the GPMS provided basic map views but lacked interactive overlay functionality; the Rao et al. system included no mapping capability. On AI-assisted analysis, neither comparison platform offered any form of AI-driven insight, representing the most significant functional differentiation of the present work. On user interface modernity, both comparison platforms used dated CSS frameworks with limited responsive behavior, while the Smart Village Dashboard's Angular-based implementation delivered a contemporary, fully responsive interface. On mobile responsiveness, the Smart Village Dashboard was the only platform to achieve full functionality on smartphone-sized viewports. On integration extensibility, all three platforms exhibited comparable API-based integration capabilities, with no platform decisively leading.</w:t>
      </w:r>
    </w:p>
    <w:p w:rsidR="00000000" w:rsidDel="00000000" w:rsidP="00000000" w:rsidRDefault="00000000" w:rsidRPr="00000000" w14:paraId="000000B7">
      <w:pPr>
        <w:pStyle w:val="Heading1"/>
        <w:rPr>
          <w:sz w:val="22"/>
          <w:szCs w:val="22"/>
        </w:rPr>
      </w:pPr>
      <w:r w:rsidDel="00000000" w:rsidR="00000000" w:rsidRPr="00000000">
        <w:rPr>
          <w:rFonts w:ascii="Times New Roman" w:cs="Times New Roman" w:eastAsia="Times New Roman" w:hAnsi="Times New Roman"/>
          <w:b w:val="1"/>
          <w:bCs w:val="1"/>
          <w:sz w:val="22"/>
          <w:szCs w:val="22"/>
          <w:rtl w:val="0"/>
        </w:rPr>
        <w:t xml:space="preserve">VI. DISCUSSION</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evaluation results confirm that the Smart Village Dashboard represents a meaningful advancement over existing rural governance platforms on multiple dimensions. However, several considerations merit discussion regarding the platform's limitations and the path forward for its development and deployment.</w:t>
      </w:r>
    </w:p>
    <w:p w:rsidR="00000000" w:rsidDel="00000000" w:rsidP="00000000" w:rsidRDefault="00000000" w:rsidRPr="00000000" w14:paraId="000000B9">
      <w:pPr>
        <w:rPr>
          <w:sz w:val="20"/>
          <w:szCs w:val="20"/>
        </w:rPr>
      </w:pPr>
      <w:r w:rsidDel="00000000" w:rsidR="00000000" w:rsidRPr="00000000">
        <w:rPr>
          <w:rtl w:val="0"/>
        </w:rPr>
      </w:r>
    </w:p>
    <w:p w:rsidR="00000000" w:rsidDel="00000000" w:rsidP="00000000" w:rsidRDefault="00000000" w:rsidRPr="00000000" w14:paraId="000000BA">
      <w:pPr>
        <w:pStyle w:val="Heading2"/>
        <w:rPr>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A. Impact on Rural Governance</w:t>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platform's integrative design addresses a fundamental structural problem in rural governance: the siloization of data across administrative functions. When agricultural officers, water management engineers, health workers, and education administrators each operate with domain-specific records that are never cross-referenced, systemic patterns that cut across domains remain invisible. A drought, for instance, may simultaneously affect crop yields, water source availability, and child attendance rates as families migrate in search of water; only a platform that integrates these streams can make this cross-domain relationship visible to administrators in real time. The Smart Village Dashboard creates this integrated view for the first time in a web-based, user-friendly form.</w:t>
      </w:r>
    </w:p>
    <w:p w:rsidR="00000000" w:rsidDel="00000000" w:rsidP="00000000" w:rsidRDefault="00000000" w:rsidRPr="00000000" w14:paraId="000000BC">
      <w:pPr>
        <w:rPr>
          <w:sz w:val="20"/>
          <w:szCs w:val="20"/>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AI insight service amplifies this integrative value by surfacing cross-domain correlations that a human analyst reviewing domain-specific reports might miss. During informal pilot use prior to the formal evaluation, administrative users reported that the AI insight service identified a correlation between road infrastructure degradation scores and declining school attendance in affected villages, a relationship that had not been recognized in previous administrative reviews. While such findings require validation before informing policy decisions, they demonstrate the potential of AI-assisted analysis to add value beyond human-feasible pattern recognition across large, heterogeneous datasets.</w:t>
      </w:r>
    </w:p>
    <w:p w:rsidR="00000000" w:rsidDel="00000000" w:rsidP="00000000" w:rsidRDefault="00000000" w:rsidRPr="00000000" w14:paraId="000000BE">
      <w:pPr>
        <w:rPr>
          <w:sz w:val="20"/>
          <w:szCs w:val="20"/>
        </w:rPr>
      </w:pPr>
      <w:r w:rsidDel="00000000" w:rsidR="00000000" w:rsidRPr="00000000">
        <w:rPr>
          <w:rtl w:val="0"/>
        </w:rPr>
      </w:r>
    </w:p>
    <w:p w:rsidR="00000000" w:rsidDel="00000000" w:rsidP="00000000" w:rsidRDefault="00000000" w:rsidRPr="00000000" w14:paraId="000000BF">
      <w:pPr>
        <w:pStyle w:val="Heading2"/>
        <w:rPr>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B. Limitations</w:t>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Several limitations of the current implementation warrant acknowledgment. First, the platform currently operates as a frontend application with simulated backend services; full production deployment requires integration with authoritative government data systems, which typically involve complex data governance arrangements, privacy considerations, and API standardization challenges. The effort required to establish these integrations should not be underestimated in deployment planning.</w:t>
      </w:r>
    </w:p>
    <w:p w:rsidR="00000000" w:rsidDel="00000000" w:rsidP="00000000" w:rsidRDefault="00000000" w:rsidRPr="00000000" w14:paraId="000000C1">
      <w:pPr>
        <w:rPr>
          <w:sz w:val="20"/>
          <w:szCs w:val="20"/>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Second, the AI insight service's effectiveness depends on the quality and completeness of the underlying data. In contexts where data entry is irregular or incomplete, as is common in under-resourced village administrations, the AI's analytical outputs will reflect those data quality limitations. Investment in data entry workflows and data validation mechanisms is a prerequisite for realizing the full analytical potential of the AI insight capability.</w:t>
      </w:r>
    </w:p>
    <w:p w:rsidR="00000000" w:rsidDel="00000000" w:rsidP="00000000" w:rsidRDefault="00000000" w:rsidRPr="00000000" w14:paraId="000000C3">
      <w:pPr>
        <w:rPr>
          <w:sz w:val="20"/>
          <w:szCs w:val="20"/>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Third, the usability evaluation identified free-text AI query formulation as a point of difficulty for less technically experienced users. Future iterations should incorporate structured query templates, query history with re-run capability, and contextually suggested queries based on the currently active module, to lower the interaction barrier for this interface element.</w:t>
      </w:r>
    </w:p>
    <w:p w:rsidR="00000000" w:rsidDel="00000000" w:rsidP="00000000" w:rsidRDefault="00000000" w:rsidRPr="00000000" w14:paraId="000000C5">
      <w:pPr>
        <w:rPr>
          <w:sz w:val="20"/>
          <w:szCs w:val="20"/>
        </w:rPr>
      </w:pPr>
      <w:r w:rsidDel="00000000" w:rsidR="00000000" w:rsidRPr="00000000">
        <w:rPr>
          <w:rtl w:val="0"/>
        </w:rPr>
      </w:r>
    </w:p>
    <w:p w:rsidR="00000000" w:rsidDel="00000000" w:rsidP="00000000" w:rsidRDefault="00000000" w:rsidRPr="00000000" w14:paraId="000000C6">
      <w:pPr>
        <w:pStyle w:val="Heading2"/>
        <w:rPr>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C. Future Directions</w:t>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Several extensions to the current platform are planned for future development cycles. Real-time data ingestion from IoT sensor networks monitoring water levels, soil moisture, and weather conditions would substantially enhance the platform's operational value, enabling predictive rather than purely descriptive analytics. Integration of a mobile companion application for field data collection by village-level administrators would close the data entry loop, enabling frontline workers to contribute observations that feed directly into the dashboard without requiring office-based data entry intermediaries.</w:t>
      </w:r>
    </w:p>
    <w:p w:rsidR="00000000" w:rsidDel="00000000" w:rsidP="00000000" w:rsidRDefault="00000000" w:rsidRPr="00000000" w14:paraId="000000C8">
      <w:pPr>
        <w:rPr>
          <w:sz w:val="20"/>
          <w:szCs w:val="20"/>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AI insight capability could be extended to support multilingual queries, enabling administrators whose primary language is not English to interact with the system in regional languages. This extension is particularly important in linguistically diverse contexts such as India, where district-level administrators may be more fluent in Hindi, Tamil, Telugu, or other regional languages than in English. The architectural groundwork for multilingual support exists in the current system's service layer design and would not require fundamental architectural changes.</w:t>
      </w:r>
    </w:p>
    <w:p w:rsidR="00000000" w:rsidDel="00000000" w:rsidP="00000000" w:rsidRDefault="00000000" w:rsidRPr="00000000" w14:paraId="000000CA">
      <w:pPr>
        <w:rPr>
          <w:sz w:val="20"/>
          <w:szCs w:val="20"/>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Longitudinal deployment studies tracking administrative decision quality, resource allocation efficiency, and citizen service delivery outcomes before and after platform introduction would provide rigorous evidence of the system's impact at scale, informing recommendations for broader adoption by government agencies.</w:t>
      </w:r>
    </w:p>
    <w:p w:rsidR="00000000" w:rsidDel="00000000" w:rsidP="00000000" w:rsidRDefault="00000000" w:rsidRPr="00000000" w14:paraId="000000CC">
      <w:pPr>
        <w:pStyle w:val="Heading1"/>
        <w:rPr>
          <w:sz w:val="22"/>
          <w:szCs w:val="22"/>
        </w:rPr>
      </w:pPr>
      <w:r w:rsidDel="00000000" w:rsidR="00000000" w:rsidRPr="00000000">
        <w:rPr>
          <w:rFonts w:ascii="Times New Roman" w:cs="Times New Roman" w:eastAsia="Times New Roman" w:hAnsi="Times New Roman"/>
          <w:b w:val="1"/>
          <w:bCs w:val="1"/>
          <w:sz w:val="22"/>
          <w:szCs w:val="22"/>
          <w:rtl w:val="0"/>
        </w:rPr>
        <w:t xml:space="preserve">VII. CONCLUSION</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paper presented the Smart Village Dashboard, a web-based integrated platform for rural governance designed to consolidate heterogeneous village-level data into a unified, interactive administrative interface. The system was implemented using Angular 18 as the primary framework, with Leaflet.js providing geospatial visualization, Chart.js enabling data charting across multiple visualization types, and a purpose-built AI insight service delivering natural language-driven decision support.</w:t>
      </w:r>
    </w:p>
    <w:p w:rsidR="00000000" w:rsidDel="00000000" w:rsidP="00000000" w:rsidRDefault="00000000" w:rsidRPr="00000000" w14:paraId="000000CE">
      <w:pPr>
        <w:rPr>
          <w:sz w:val="20"/>
          <w:szCs w:val="20"/>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architectural design prioritizes modularity, reactivity, and extensibility, allowing the platform to accommodate new data domains and evolving administrative requirements without structural disruption. Role-based authentication, dynamic theming, and responsive layout design ensure that the platform is accessible, secure, and usable across the range of devices and user profiles encountered in rural administrative contexts.</w:t>
      </w:r>
    </w:p>
    <w:p w:rsidR="00000000" w:rsidDel="00000000" w:rsidP="00000000" w:rsidRDefault="00000000" w:rsidRPr="00000000" w14:paraId="000000D0">
      <w:pPr>
        <w:rPr>
          <w:sz w:val="20"/>
          <w:szCs w:val="20"/>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Experimental evaluation demonstrated strong system performance, with initial page load times well within professional web application benchmarks and chart rendering latencies that maintain interactive responsiveness under realistic data volumes. Usability evaluation with representative administrative users produced a mean SUS score of 78.4, reflecting good usability with identified improvement opportunities in the AI query interface. Comparative analysis confirmed that the Smart Village Dashboard outperforms existing rural governance platforms on data domain coverage, geospatial visualization, AI-assisted analysis, interface modernity, and mobile responsiveness.</w:t>
      </w:r>
    </w:p>
    <w:p w:rsidR="00000000" w:rsidDel="00000000" w:rsidP="00000000" w:rsidRDefault="00000000" w:rsidRPr="00000000" w14:paraId="000000D2">
      <w:pPr>
        <w:rPr>
          <w:sz w:val="20"/>
          <w:szCs w:val="20"/>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platform demonstrates that thoughtful application of contemporary frontend engineering practices, integrative data design, and AI-assisted analysis can meaningfully advance the state of digital governance tools available to rural administrators. As rural communities worldwide continue to be underserved by digital infrastructure, platforms of this kind represent a concrete mechanism for reducing the governance capability gap between urban and rural administrative contexts, ultimately contributing to more equitable service delivery and more responsive local government.</w:t>
      </w:r>
    </w:p>
    <w:p w:rsidR="00000000" w:rsidDel="00000000" w:rsidP="00000000" w:rsidRDefault="00000000" w:rsidRPr="00000000" w14:paraId="000000D4">
      <w:pPr>
        <w:rPr>
          <w:sz w:val="20"/>
          <w:szCs w:val="20"/>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Future work will focus on live backend integration with authoritative government data systems, IoT sensor data ingestion for real-time environmental monitoring, multilingual AI query support, mobile companion application development for field data collection, and longitudinal impact evaluation across deployed administrative contexts.</w:t>
      </w:r>
    </w:p>
    <w:p w:rsidR="00000000" w:rsidDel="00000000" w:rsidP="00000000" w:rsidRDefault="00000000" w:rsidRPr="00000000" w14:paraId="000000D6">
      <w:pPr>
        <w:pStyle w:val="Heading1"/>
        <w:rPr>
          <w:sz w:val="22"/>
          <w:szCs w:val="22"/>
        </w:rPr>
      </w:pPr>
      <w:r w:rsidDel="00000000" w:rsidR="00000000" w:rsidRPr="00000000">
        <w:rPr>
          <w:rFonts w:ascii="Times New Roman" w:cs="Times New Roman" w:eastAsia="Times New Roman" w:hAnsi="Times New Roman"/>
          <w:b w:val="1"/>
          <w:bCs w:val="1"/>
          <w:sz w:val="22"/>
          <w:szCs w:val="22"/>
          <w:rtl w:val="0"/>
        </w:rPr>
        <w:t xml:space="preserve">ACKNOWLEDGMENT</w:t>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authors wish to thank the district administrative officers and block-level staff who participated in the usability evaluation and provided practical insights that shaped the platform's design priorities. Their willingness to engage with a prototype system and share candid feedback was indispensable to the evaluation reported in this paper.</w:t>
      </w:r>
    </w:p>
    <w:p w:rsidR="00000000" w:rsidDel="00000000" w:rsidP="00000000" w:rsidRDefault="00000000" w:rsidRPr="00000000" w14:paraId="000000D8">
      <w:pPr>
        <w:pStyle w:val="Heading1"/>
        <w:rPr>
          <w:sz w:val="22"/>
          <w:szCs w:val="22"/>
        </w:rPr>
      </w:pPr>
      <w:r w:rsidDel="00000000" w:rsidR="00000000" w:rsidRPr="00000000">
        <w:rPr>
          <w:rFonts w:ascii="Times New Roman" w:cs="Times New Roman" w:eastAsia="Times New Roman" w:hAnsi="Times New Roman"/>
          <w:b w:val="1"/>
          <w:bCs w:val="1"/>
          <w:sz w:val="22"/>
          <w:szCs w:val="22"/>
          <w:rtl w:val="0"/>
        </w:rPr>
        <w:t xml:space="preserve">REFERENCES</w:t>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[1]V. Zavratnik, A. Kos, and E. Stojmenova Duh, "Smart villages: Comprehensive review of initiatives and practices," Sustainability, vol. 10, no. 7, p. 2559, 2018.</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[2]R. Kumar and A. Singh, "E-governance in rural India: Challenges and prospects," Int. J. Comput. Appl., vol. 180, no. 26, pp. 1–6, 2018.</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[3]S. Misra, C. Goswami, and K. Srinivasan, "Mobile applications in rural governance: A review of adoption barriers," Gov. Inf. Q., vol. 36, no. 3, pp. 501–514, 2019.</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[4]N. K. Tripathi and S. Bhattarya, "Integrating indigenous knowledge and GIS for participatory natural hazard mitigation: A case study of Sikkim Himalaya," Mt. Res. Dev., vol. 24, no. 3, pp. 233–240, 2004.</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[5]D. Mandal, P. Chakraborty, and A. Roy, "GIS-based water resource monitoring for drought management in rural Maharashtra," J. Rural Dev., vol. 38, no. 2, pp. 115–131, 2019.</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[6]T. T. Bui, P. Q. Le, and N. H. Nguyen, "Adoption of web-based GIS in Vietnamese commune administration: Barriers and enablers," J. e-Gov., vol. 43, no. 1, pp. 12–27, 2020.</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[7]B. W. Wirtz, J. C. Weyerer, and C. Geyer, "Artificial intelligence and the public sector—applications and challenges," Int. J. Public Adm., vol. 42, no. 7, pp. 596–615, 2019.</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[8]M. Janssen, P. Brous, E. Estevez, L. S. Barbosa, and T. Janowski, "Data governance: Organizing data for trustworthy artificial intelligence," Gov. Inf. Q., vol. 37, no. 3, p. 101493, 2020.</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[9]H. D. Mehr, "Artificial intelligence for citizen services and government," Ash Center for Democratic Governance and Innovation, Harvard Kennedy School, Cambridge, MA, USA, Rep., 2017.</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[10]V. Rao, S. Patil, and M. Kulkarni, "An open-source village information system for rural India: Design and field evaluation," in Proc. Int. Conf. Comput. Sustain. Dev., Bangalore, India, 2021, pp. 88–95.</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[11]Angular Team, "Angular Documentation," Google LLC, version 18, 2024. [Online]. Available: https://angular.dev/</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[12]Leaflet Contributors, "Leaflet: An open-source JavaScript library for mobile-friendly interactive maps," version 1.9.4, 2024. [Online]. Available: https://leafletjs.com/</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[13]Chart.js Contributors, "Chart.js: Simple yet flexible JavaScript charting library," version 4.4, 2024. [Online]. Available: https://www.chartjs.org/</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[14]B. Leander, "RxJS: Reactive extensions library for JavaScript," ReactiveX, version 7.8, 2024. [Online]. Available: https://rxjs.dev/</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[15]J. Brooke, "SUS: A 'quick and dirty' usability scale," in Usability Evaluation in Industry, P. W. Jordan, B. Thomas, B. A. Weerdmeester, and A. L. McClelland, Eds. London, UK: Taylor &amp; Francis, 1996, pp. 189–194.</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[16]Ministry of Electronics and Information Technology, Government of India, "National e-Governance Plan (NeGP): Annual Report 2022–23," New Delhi, India, 2023.</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[17]T. Ojha, S. Misra, and N. S. Raghuwanshi, "Wireless sensor networks for agriculture: The state-of-the-art in practice and future challenges," Comput. Electron. Agric., vol. 118, pp. 66–84, 2015.</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[18]S. Li, L. Da Xu, and S. Zhao, "The internet of things: A survey," Inf. Syst. Front., vol. 17, no. 2, pp. 243–259, 2015.</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[19]J. Nielsen, "Usability Engineering," San Francisco, CA, USA: Morgan Kaufmann, 1993.</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shd w:fill="auto" w:val="clear"/>
          <w:vertAlign w:val="baseline"/>
          <w:rtl w:val="0"/>
        </w:rPr>
        <w:t xml:space="preserve">[20]O. Solon, "Digital villages: How technology is reshaping rural life," Wired, Aug. 2022. [Online]. Available: https://www.wired.com/</w:t>
      </w:r>
    </w:p>
    <w:sectPr>
      <w:type w:val="continuous"/>
      <w:pgSz w:h="16838" w:w="11906" w:orient="portrait"/>
      <w:pgMar w:bottom="1440" w:top="450" w:left="893" w:right="893" w:header="708" w:footer="708"/>
      <w:cols w:equalWidth="0" w:num="2">
        <w:col w:space="720" w:w="4699.74"/>
        <w:col w:space="0" w:w="4699.7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18"/>
        <w:szCs w:val="18"/>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Times New Roman" w:cs="Times New Roman" w:eastAsia="Times New Roman" w:hAnsi="Times New Roman"/>
      <w:b w:val="1"/>
      <w:bCs w:val="1"/>
      <w:i w:val="0"/>
      <w:iCs w:val="0"/>
      <w:smallCaps w:val="1"/>
      <w:strike w:val="0"/>
      <w:color w:val="000000"/>
      <w:sz w:val="20"/>
      <w:szCs w:val="2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40" w:lineRule="auto"/>
      <w:ind w:left="0" w:right="0" w:firstLine="0"/>
      <w:jc w:val="left"/>
    </w:pPr>
    <w:rPr>
      <w:rFonts w:ascii="Times New Roman" w:cs="Times New Roman" w:eastAsia="Times New Roman" w:hAnsi="Times New Roman"/>
      <w:b w:val="1"/>
      <w:bCs w:val="1"/>
      <w:i w:val="1"/>
      <w:iCs w:val="1"/>
      <w:smallCaps w:val="0"/>
      <w:strike w:val="0"/>
      <w:color w:val="000000"/>
      <w:sz w:val="18"/>
      <w:szCs w:val="1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0" w:right="0" w:firstLine="0"/>
      <w:jc w:val="left"/>
    </w:pPr>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18"/>
      <w:szCs w:val="1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18"/>
      <w:szCs w:val="18"/>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18"/>
      <w:szCs w:val="18"/>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yhimanshu331@gmail.com" TargetMode="External"/><Relationship Id="rId7" Type="http://schemas.openxmlformats.org/officeDocument/2006/relationships/hyperlink" Target="mailto:bhavin.vashisth1@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