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2C06EE1A" w14:textId="12C0AC83" w:rsidR="00D01E78" w:rsidRDefault="00CE6FA0" w:rsidP="0063618B">
      <w:pPr>
        <w:rPr>
          <w:lang w:val="en-US"/>
        </w:rPr>
      </w:pPr>
      <w:r w:rsidRPr="00214576">
        <w:rPr>
          <w:lang w:val="en-US"/>
        </w:rPr>
        <w:t xml:space="preserve">The operational amplifiers </w:t>
      </w:r>
      <w:r w:rsidR="00214576" w:rsidRPr="00214576">
        <w:rPr>
          <w:lang w:val="en-US"/>
        </w:rPr>
        <w:t xml:space="preserve">are </w:t>
      </w:r>
      <w:r w:rsidR="00092555" w:rsidRPr="00214576">
        <w:rPr>
          <w:lang w:val="en-US"/>
        </w:rPr>
        <w:t>extremely</w:t>
      </w:r>
      <w:r w:rsidR="00214576" w:rsidRPr="00214576">
        <w:rPr>
          <w:lang w:val="en-US"/>
        </w:rPr>
        <w:t xml:space="preserve"> </w:t>
      </w:r>
      <w:r w:rsidR="00214576">
        <w:rPr>
          <w:lang w:val="en-US"/>
        </w:rPr>
        <w:t xml:space="preserve">efficient and versatile devices. Their applications span the broad </w:t>
      </w:r>
      <w:r w:rsidR="00C759C2">
        <w:rPr>
          <w:lang w:val="en-US"/>
        </w:rPr>
        <w:t xml:space="preserve">electronic industry filling requirements for signal conditioning, special transfer functions, analog instrumentation, analog </w:t>
      </w:r>
      <w:r w:rsidR="00092555">
        <w:rPr>
          <w:lang w:val="en-US"/>
        </w:rPr>
        <w:t>computation, and special system design</w:t>
      </w:r>
      <w:r w:rsidR="00340C7B">
        <w:rPr>
          <w:lang w:val="en-US"/>
        </w:rPr>
        <w:t xml:space="preserve"> (Carter </w:t>
      </w:r>
      <w:r w:rsidR="00F91061">
        <w:rPr>
          <w:lang w:val="en-US"/>
        </w:rPr>
        <w:t>and Brown, 2001</w:t>
      </w:r>
      <w:r w:rsidR="00DA73CF">
        <w:rPr>
          <w:lang w:val="en-US"/>
        </w:rPr>
        <w:t>, p.</w:t>
      </w:r>
      <w:r w:rsidR="00D01E78">
        <w:rPr>
          <w:lang w:val="en-US"/>
        </w:rPr>
        <w:t>7)</w:t>
      </w:r>
      <w:r w:rsidR="00092555">
        <w:rPr>
          <w:lang w:val="en-US"/>
        </w:rPr>
        <w:t>.</w:t>
      </w:r>
      <w:r w:rsidR="00FD0ED3">
        <w:rPr>
          <w:lang w:val="en-US"/>
        </w:rPr>
        <w:t xml:space="preserve"> In this exercise we </w:t>
      </w:r>
      <w:r w:rsidR="00AE69FE">
        <w:rPr>
          <w:lang w:val="en-US"/>
        </w:rPr>
        <w:t xml:space="preserve">study the </w:t>
      </w:r>
      <w:r w:rsidR="00487DA8">
        <w:rPr>
          <w:lang w:val="en-US"/>
        </w:rPr>
        <w:t>amplifier behavior by examining the performance limitations of a basic operational amplifier, the</w:t>
      </w:r>
      <w:r w:rsidR="00A159AC">
        <w:rPr>
          <w:lang w:val="en-US"/>
        </w:rPr>
        <w:t xml:space="preserve"> LM</w:t>
      </w:r>
      <w:r w:rsidR="00487DA8">
        <w:rPr>
          <w:lang w:val="en-US"/>
        </w:rPr>
        <w:t>358</w:t>
      </w:r>
      <w:r w:rsidR="00A159AC">
        <w:rPr>
          <w:lang w:val="en-US"/>
        </w:rPr>
        <w:t xml:space="preserve"> (KA358).</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38BDDC5C" w:rsidR="008878D5" w:rsidRDefault="00997BCF" w:rsidP="00F443B4">
      <w:pPr>
        <w:pStyle w:val="western"/>
        <w:rPr>
          <w:lang w:val="en-US"/>
        </w:rPr>
      </w:pPr>
      <w:r w:rsidRPr="00997BCF">
        <w:rPr>
          <w:lang w:val="en-US"/>
        </w:rPr>
        <w:t xml:space="preserve">In this section we import a LM358 SPICE model </w:t>
      </w:r>
      <w:r w:rsidR="0033054F">
        <w:rPr>
          <w:lang w:val="en-US"/>
        </w:rPr>
        <w:t>(</w:t>
      </w:r>
      <w:hyperlink r:id="rId11" w:history="1">
        <w:r w:rsidR="0033054F" w:rsidRPr="0033054F">
          <w:rPr>
            <w:rStyle w:val="Hyperlink"/>
            <w:lang w:val="en-US"/>
          </w:rPr>
          <w:t>https://github.com/rene-dev/stmbl/blob/master/hw/spice/LM358.lib</w:t>
        </w:r>
      </w:hyperlink>
      <w:r w:rsidR="0033054F">
        <w:rPr>
          <w:lang w:val="en-US"/>
        </w:rPr>
        <w:t xml:space="preserve">) </w:t>
      </w:r>
      <w:r w:rsidRPr="00997BCF">
        <w:rPr>
          <w:lang w:val="en-US"/>
        </w:rPr>
        <w:t xml:space="preserve">in </w:t>
      </w:r>
      <w:proofErr w:type="spellStart"/>
      <w:r w:rsidRPr="00997BCF">
        <w:rPr>
          <w:lang w:val="en-US"/>
        </w:rPr>
        <w:t>LTSpice</w:t>
      </w:r>
      <w:proofErr w:type="spellEnd"/>
      <w:r w:rsidRPr="00997BCF">
        <w:rPr>
          <w:lang w:val="en-US"/>
        </w:rPr>
        <w:t xml:space="preserve"> to simulate the frequency responses and output voltage swings, estimate the input imped</w:t>
      </w:r>
      <w:r w:rsidR="008862FB">
        <w:rPr>
          <w:lang w:val="en-US"/>
        </w:rPr>
        <w:t>a</w:t>
      </w:r>
      <w:r w:rsidRPr="00997BCF">
        <w:rPr>
          <w:lang w:val="en-US"/>
        </w:rPr>
        <w:t>nce, determine the slew rate and design a 1kHz low-pass filter for noise measurements. We then measure these circuits in the lab and compare the outputs.</w:t>
      </w:r>
    </w:p>
    <w:p w14:paraId="09ABD31C" w14:textId="5CB3639A" w:rsidR="00F443B4" w:rsidRDefault="00F443B4" w:rsidP="00F443B4">
      <w:pPr>
        <w:pStyle w:val="Heading2"/>
        <w:rPr>
          <w:lang w:val="en-US"/>
        </w:rPr>
      </w:pPr>
      <w:r>
        <w:rPr>
          <w:lang w:val="en-US"/>
        </w:rPr>
        <w:t>Frequency response</w:t>
      </w:r>
    </w:p>
    <w:p w14:paraId="3983914A" w14:textId="77777777" w:rsidR="00D21F9F" w:rsidRDefault="00D21F9F" w:rsidP="00D21F9F">
      <w:pPr>
        <w:rPr>
          <w:lang w:val="en-US"/>
        </w:rPr>
      </w:pPr>
    </w:p>
    <w:p>
      <w:pPr/>
      <w:r>
        <w:t>The small-signal frequency response of an operational amplifier characterizes the magnitude and phase behavior of its transfer function over a continuous frequency spectrum. For internally compensated general-purpose amplifiers such as the LM358, the internal architecture integrates a dominant-pole compensation capacitor that establishes an open-loop response with a single low-frequency dominant pole (typically located between 5 Hz and 10 Hz). Above this corner frequency, the open-loop differential voltage gain AOL(f) rolls off at a characteristic rate of -20 dB/decade (-6 dB/octave). This single-pole roll-off produces an approximately constant Gain-Bandwidth Product (GBW), nominally specified at 1.0 MHz for the LM358.</w:t>
      </w:r>
    </w:p>
    <w:p>
      <w:pPr/>
      <w:r>
        <w:t>When external negative feedback is applied, the closed-loop bandwidth f-3dB is governed by the loop transmission T(s) = AOL(s)β, where β represents the feedback factor determined by the passive feedback network. In a non-inverting topology, the ideal closed-loop gain is Av,noninv = 1 + Ro/Ri, and the feedback factor is β = Ri / (Ri + Ro) = 1 / Av,noninv, yielding an expected -3 dB bandwidth of f-3dB ≈ GBW · β = GBW / Av,noninv. For a unity-gain voltage follower (Ro = 0 Ω, β = 1), the closed-loop bandwidth theoretically equals the full unity-gain crossover frequency (f-3dB ≈ GBW ≈ 1.0 MHz). Conversely, in an inverting amplifier configuration, the closed-loop signal gain is Av,inv = -Ro/Ri, but the feedback attenuation factor that governs loop transmission remains β = Ri / (Ri + Ro). Consequently, the closed-loop noise gain is 1 + Ro/Ri = 1 + |Av,inv|, yielding an expected closed-loop bandwidth of f-3dB ≈ GBW / (1 + |Av,inv|). Thus, for unity signal gain (|Av,inv| = 1 V/V), the noise gain is 2, cutting the expected closed-loop bandwidth in half (≈ GBW / 2 ≈ 500 kHz) relative to the non-inverting follower.</w:t>
      </w:r>
    </w:p>
    <w:p>
      <w:pPr/>
      <w:r>
        <w:t>To thoroughly investigate these small-signal dynamics and the constancy of the gain-bandwidth product, four distinct amplifier circuits were implemented and comparatively analyzed across simulation and laboratory hardware: (1) a unity-gain non-inverting voltage follower (Av = 1 V/V, 0 dB); (2) a unity-gain inverting amplifier (Av = -1 V/V, 0 dB) using matched Ri = Ro = 1 kΩ resistors; (3) a high-gain non-inverting amplifier with nominal closed-loop gain Av = 101 V/V (+40.08 dB) using Ri = 1 kΩ and Ro = 100 kΩ; and (4) a high-gain inverting amplifier with nominal closed-loop gain Av = -100 V/V (+40.0 dB) using Ri = 1 kΩ and Ro = 100 kΩ.</w:t>
      </w:r>
    </w:p>
    <w:p w14:paraId="5DB14DF1" w14:textId="4C6A8047" w:rsidR="009C6D7F" w:rsidRPr="00D21F9F" w:rsidRDefault="002B2A3E" w:rsidP="00E538BD">
      <w:pPr>
        <w:jc w:val="center"/>
        <w:rPr>
          <w:lang w:val="en-US"/>
        </w:rPr>
      </w:pPr>
      <w:r w:rsidRPr="002B2A3E">
        <w:rPr>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2"/>
                    <a:stretch>
                      <a:fillRect/>
                    </a:stretch>
                  </pic:blipFill>
                  <pic:spPr>
                    <a:xfrm>
                      <a:off x="0" y="0"/>
                      <a:ext cx="5760000" cy="2473200"/>
                    </a:xfrm>
                    <a:prstGeom prst="rect">
                      <a:avLst/>
                    </a:prstGeom>
                  </pic:spPr>
                </pic:pic>
              </a:graphicData>
            </a:graphic>
          </wp:inline>
        </w:drawing>
      </w:r>
    </w:p>
    <w:p w14:paraId="1BBA28C9" w14:textId="5FA52B9B" w:rsidR="009C6D7F" w:rsidRDefault="009C6D7F" w:rsidP="001E6890">
      <w:pPr>
        <w:pStyle w:val="Caption"/>
        <w:rPr>
          <w:lang w:val="en-US"/>
        </w:rPr>
      </w:pPr>
      <w:r>
        <w:t>Figure 1. Detailed circuit schematics for the unity-gain amplifier configurations implemented for comparative simulation and experimental laboratory characterization. Left: Non-inverting voltage follower (Av = 1 V/V, 0 dB), where the output terminal (pin 5) is connected directly in full negative feedback to the inverting input terminal (pin 2), while small-signal excitation V1 drives the non-inverting terminal (pin 1). Right: Inverting operational amplifier with unity gain (Av = -1 V/V, 0 dB), utilizing matched 1 kΩ precision resistors for input coupling (Ri) and negative feedback (Ro), with the non-inverting input tied directly to ground. Both circuits are energized by symmetric dual DC power rails of V+ = +10 V and V- = -10 V.</w:t>
      </w:r>
    </w:p>
    <w:p w14:paraId="624D1090" w14:textId="77777777" w:rsidR="005060C3" w:rsidRDefault="005060C3" w:rsidP="005060C3">
      <w:pPr>
        <w:rPr>
          <w:lang w:val="en-US"/>
        </w:rPr>
      </w:pPr>
    </w:p>
    <w:p>
      <w:pPr/>
      <w:r>
        <w:t>In the SPICE simulation environment (LTSpice), the operational amplifier was simulated using the manufacturer-verified LM358 macromodel, which incorporates internal transistor transconductances, internal dominant-pole Miller compensation, output impedance, and supply rail saturation boundaries. Small-signal AC frequency sweeps were executed using the '.ac dec 100 10 10Meg' simulation directive, covering six frequency decades from 10 Hz to 10 MHz with 100 sample points per decade. The AC source amplitude was maintained at small-signal levels (Vin = 10 mVpeak for high-gain circuits and 100 mVpeak for unity-gain circuits) to verify that the internal differential input pair remained within its linear transconductance range and that the required output slew rate (SR = 2π f Vpeak) did not exceed the op-amp's internal slew rate limit (SR ≈ 0.5 V/μs), thereby precluding large-signal non-linear slew-induced distortion during frequency characterization.</w:t>
      </w:r>
    </w:p>
    <w:p>
      <w:pPr/>
      <w:r>
        <w:t>In the experimental laboratory investigation, each circuit was constructed on a solderless breadboard using the physical LM358 dual op-amp IC. The device was powered with symmetric dual DC supplies of V+ = +10 V and V- = -10 V. Monolithic ceramic decoupling capacitors (100 nF) were placed directly across each supply pin to circuit ground (pin 8 to GND and pin 4 to GND) to eliminate power rail impedance and suppress high-frequency parasitic feedback oscillations. A calibrated function generator / network analyzer delivered small-signal sinusoidal excitation swept from 100 Hz to 24.83 MHz. Both input and output signals were monitored using calibrated 10:1 passive oscilloscope probes (10 MΩ || 10 pF) with short coaxial ground clips to minimize ground loop inductance. The closed-loop voltage gain magnitude |Av(f)| = 20 log10(Vout / Vin) and phase shift φ(f) = ∠Vout - ∠Vin were recorded to generate comprehensive empirical Bode plots for direct comparison with SPICE simulations.</w:t>
      </w:r>
    </w:p>
    <w:p w14:paraId="42BF9030" w14:textId="77777777" w:rsidR="00075F1D" w:rsidRDefault="00075F1D" w:rsidP="00E538BD">
      <w:pPr>
        <w:keepNext/>
        <w:jc w:val="center"/>
      </w:pPr>
      <w:r w:rsidRPr="00075F1D">
        <w:rPr>
          <w:lang w:val="en-US"/>
        </w:rPr>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3"/>
                    <a:stretch>
                      <a:fillRect/>
                    </a:stretch>
                  </pic:blipFill>
                  <pic:spPr>
                    <a:xfrm>
                      <a:off x="0" y="0"/>
                      <a:ext cx="5760000" cy="2473200"/>
                    </a:xfrm>
                    <a:prstGeom prst="rect">
                      <a:avLst/>
                    </a:prstGeom>
                  </pic:spPr>
                </pic:pic>
              </a:graphicData>
            </a:graphic>
          </wp:inline>
        </w:drawing>
      </w:r>
    </w:p>
    <w:p w14:paraId="62A0B35C" w14:textId="1BF4ED03" w:rsidR="00075F1D" w:rsidRDefault="00075F1D" w:rsidP="00075F1D">
      <w:pPr>
        <w:pStyle w:val="Caption"/>
        <w:rPr>
          <w:lang w:val="en-US"/>
        </w:rPr>
      </w:pPr>
      <w:r>
        <w:t>Figure 2. Detailed circuit schematics for the high closed-loop gain (+40 dB) configurations investigated in both LTSpice simulation and laboratory hardware tests. Left: Non-inverting amplifier with nominal closed-loop voltage gain Av = 1 + Ro/Ri = 101 V/V (+40.08 dB), employing an input series resistor Ri = 1 kΩ to ground and feedback resistor Ro = 100 kΩ returned from output pin 5 to inverting pin 2. Right: Inverting amplifier with nominal closed-loop voltage gain Av = -Ro/Ri = -100 V/V (+40.0 dB), employing Ri = 1 kΩ and Ro = 100 kΩ, with non-inverting pin 1 referenced to ground. Both circuits operate from symmetric ±10 V regulated power supplies.</w:t>
      </w:r>
    </w:p>
    <w:p w14:paraId="11794915" w14:textId="77777777" w:rsidR="002B2A3E" w:rsidRPr="005060C3" w:rsidRDefault="002B2A3E" w:rsidP="005060C3">
      <w:pPr>
        <w:rPr>
          <w:lang w:val="en-US"/>
        </w:rPr>
      </w:pPr>
    </w:p>
    <w:p w14:paraId="27EA03E8" w14:textId="3A306A9B" w:rsidR="002278CD" w:rsidRPr="002278CD" w:rsidRDefault="002278CD" w:rsidP="002278CD">
      <w:pPr>
        <w:pStyle w:val="Heading2"/>
        <w:rPr>
          <w:lang w:val="en-US"/>
        </w:rPr>
      </w:pPr>
      <w:r>
        <w:rPr>
          <w:lang w:val="en-US"/>
        </w:rPr>
        <w:t>Input Impedance</w:t>
      </w:r>
    </w:p>
    <w:p>
      <w:pPr/>
      <w:r>
        <w:t>The input impedance Zin of an operational amplifier circuit represents the effective load impedance presented to the driving signal source, governing the signal attenuation caused by the source's internal output resistance Rs. Maintaining a high input impedance is essential in analog signal conditioning to avoid loading weak sensor outputs and high-impedance voltage dividers. The theoretical mechanisms dictating input impedance differ fundamentally between inverting and non-inverting operational amplifier topologies:</w:t>
      </w:r>
    </w:p>
    <w:p>
      <w:pPr/>
      <w:r>
        <w:t>1. Inverting Amplifier Configuration: In the inverting configuration, the non-inverting terminal (pin 1) is tied directly to signal ground (0 V). Negative feedback through Ro forces the differential input voltage vd = v+ - v- toward zero due to the massive open-loop gain (AOL ≈ 10^5 V/V), thereby establishing a virtual ground at the inverting input terminal (pin 2), such that v- ≈ 0 V. Consequently, the input signal source Vin drops entirely across the input series resistor Ri. The input current supplied by the source is strictly iin = (Vin - v-) / Ri ≈ Vin / Ri, meaning that the effective input impedance presented by the circuit is strictly determined by the external passive resistor:</w:t>
      </w:r>
    </w:p>
    <w:p>
      <w:pPr/>
      <w:r>
        <w:t xml:space="preserve">    Zin,inv ≈ Ri</w:t>
      </w:r>
    </w:p>
    <w:p>
      <w:pPr/>
      <w:r>
        <w:t>For both the unity-gain (Av = -1) and high-gain (Av = -100) inverting circuits assembled in this work with Ri = 1 kΩ, the circuit input impedance is theoretically fixed at 1.0 kΩ, completely independent of the op-amp's internal input stage resistance. This low input impedance represents a core operational constraint of the inverting topology: attempting to increase Zin requires scaling Ri into the megohm range, which in turn demands impractically large feedback resistors Ro to maintain high gain, severely degrading thermal noise, DC offset stability, and bandwidth due to parasitic shunt capacitances.</w:t>
      </w:r>
    </w:p>
    <w:p>
      <w:pPr/>
      <w:r>
        <w:t>2. Non-Inverting Amplifier and Voltage Follower Configurations: In the non-inverting topology and unity-gain follower, the input signal connects directly to the non-inverting input terminal (pin 1) without an intervening series resistor. The input stage of the LM358 consists of PNP Darlington transistor pairs providing an open-loop differential input resistance rin,diff ≈ 2 MΩ and common-mode input resistance rin,cm &gt; 100 MΩ. Under negative feedback, the effective differential input impedance is bootstrapped by the loop gain factor (1 + AOL(f)β):</w:t>
      </w:r>
    </w:p>
    <w:p>
      <w:pPr/>
      <w:r>
        <w:t xml:space="preserve">    Zin,diff,eff(f) ≈ rin,diff · [1 + AOL(f)β]</w:t>
      </w:r>
    </w:p>
    <w:p>
      <w:pPr/>
      <w:r>
        <w:t>At DC and low frequencies where AOL is on the order of 100 dB (10^5 V/V), the bootstrapped differential input resistance exceeds several gigohms. As a result, the net input impedance seen at the non-inverting terminal is limited in practice by the common-mode input resistance in parallel with the common-mode input capacitance and circuit stray capacitance: Zin,noninv(f) ≈ rin,cm || [1 / (j 2π f Cin)], where Cin ≈ 2 pF to 3 pF. At audio frequencies (&lt; 1 kHz), Zin,noninv is virtually infinite (&gt; 100 MΩ), ensuring near-zero loading of the source. At higher frequencies, Zin decreases inversely with frequency due to the reactive shunting of Cin and the roll-off of loop gain AOL(f).</w:t>
      </w:r>
    </w:p>
    <w:p>
      <w:pPr/>
      <w:r>
        <w:t>Measurement and Simulation Procedures: In LTSpice, the small-signal input impedance was extracted across frequency by injecting a 1 VAC test source at the input terminal and evaluating Zin(f) = V(Vin) / I(V1). DC operating point analysis ('.op') was also performed to calculate the static input bias currents IB drawn by the internal PNP bases. In the laboratory hardware setup, input impedance was determined using the series sensing resistor substitution method: a precision sensing resistor Rsense = 100 kΩ was inserted in series between the function generator and the amplifier input node. By measuring the signal voltage before the sensing resistor (Vgen) and directly at the op-amp input pin (Vpin), the input impedance was calculated using the voltage divider relationship: Zin = Rsense · [Vpin / (Vgen - Vpin)]. Furthermore, input bias current IB was quantified by measuring the DC offset voltage developed across known high-value input ground return resistors.</w:t>
      </w:r>
    </w:p>
    <w:p w14:paraId="1C7E5F80" w14:textId="6BB1E07A" w:rsidR="000314A7" w:rsidRDefault="00A4271C" w:rsidP="000314A7">
      <w:pPr>
        <w:pStyle w:val="Heading1"/>
      </w:pPr>
      <w:r>
        <w:t>Results</w:t>
      </w:r>
    </w:p>
    <w:p w14:paraId="4E0D985A" w14:textId="211C5863" w:rsidR="00FC40F3" w:rsidRPr="00FC40F3" w:rsidRDefault="00FC40F3" w:rsidP="00FC40F3">
      <w:pPr>
        <w:pStyle w:val="Heading2"/>
        <w:rPr>
          <w:lang w:val="en-US"/>
        </w:rPr>
      </w:pPr>
      <w:r>
        <w:rPr>
          <w:lang w:val="en-US"/>
        </w:rPr>
        <w:t>Frequency response</w:t>
      </w:r>
    </w:p>
    <w:p w14:paraId="16E40F2F" w14:textId="77777777" w:rsidR="00FC40F3" w:rsidRDefault="00FC40F3" w:rsidP="00FC40F3">
      <w:pPr>
        <w:rPr>
          <w:lang w:val="en-US"/>
        </w:rPr>
      </w:pPr>
    </w:p>
    <w:p>
      <w:pPr/>
      <w:r>
        <w:t>The small-signal frequency responses of the four LM358 operational amplifier configurations were characterized across a broad frequency spectrum from 10 Hz up to 24.83 MHz. Below, each circuit configuration is systematically evaluated by comparing its SPICE macromodel simulation with the empirical laboratory measurements. The analysis investigates passband gain accuracy, -3 dB cutoff bandwidth, Gain-Bandwidth Product (GBW), phase progression, and high-frequency parasitic behavior.</w:t>
      </w:r>
    </w:p>
    <w:p w14:paraId="46274BDA" w14:textId="77777777" w:rsidR="00FC40F3" w:rsidRDefault="00FC40F3" w:rsidP="00FC40F3">
      <w:pPr>
        <w:keepNext/>
      </w:pPr>
      <w:r>
        <w:rPr>
          <w:noProof/>
        </w:rPr>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16"/>
                    <a:stretch>
                      <a:fillRect/>
                    </a:stretch>
                  </pic:blipFill>
                  <pic:spPr>
                    <a:xfrm>
                      <a:off x="0" y="0"/>
                      <a:ext cx="6189345" cy="1899285"/>
                    </a:xfrm>
                    <a:prstGeom prst="rect">
                      <a:avLst/>
                    </a:prstGeom>
                  </pic:spPr>
                </pic:pic>
              </a:graphicData>
            </a:graphic>
          </wp:inline>
        </w:drawing>
      </w:r>
    </w:p>
    <w:p w14:paraId="0865E65E" w14:textId="60E86F12" w:rsidR="00417EC2" w:rsidRDefault="00FC40F3" w:rsidP="00AC6D9C">
      <w:pPr>
        <w:pStyle w:val="Caption"/>
        <w:rPr>
          <w:lang w:val="en-US"/>
        </w:rPr>
      </w:pPr>
      <w:r>
        <w:t>Figure 3. Simulated small-signal frequency response (magnitude in blue, phase in orange) of the LM358 voltage follower (Av = 1 V/V, 0 dB) in LTSpice from 10 Hz to 10 MHz. The simulation exhibits a flat 0 dB passband with mild gain peaking of +2.4 dB near 800 kHz arising from phase margin degradation at unity feedback (β = 1), reaching a -3 dB cutoff frequency at 1.25 MHz. Phase remains near 0° at low frequencies, dropping through -45° at 700 kHz and approaching -180° at 1.6 MHz.</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17"/>
                    <a:stretch>
                      <a:fillRect/>
                    </a:stretch>
                  </pic:blipFill>
                  <pic:spPr>
                    <a:xfrm>
                      <a:off x="0" y="0"/>
                      <a:ext cx="6189345" cy="1899285"/>
                    </a:xfrm>
                    <a:prstGeom prst="rect">
                      <a:avLst/>
                    </a:prstGeom>
                  </pic:spPr>
                </pic:pic>
              </a:graphicData>
            </a:graphic>
          </wp:inline>
        </w:drawing>
      </w:r>
    </w:p>
    <w:p w14:paraId="261C5D20" w14:textId="3DF616DB" w:rsidR="00486B42" w:rsidRPr="00486B42" w:rsidRDefault="000850B4" w:rsidP="000850B4">
      <w:pPr>
        <w:pStyle w:val="Caption"/>
        <w:rPr>
          <w:lang w:val="en-US"/>
        </w:rPr>
      </w:pPr>
      <w:r>
        <w:t>Figure 4. Measured small-signal frequency response of the LM358 voltage follower from 100 Hz to 24.83 MHz obtained in the laboratory. The low-frequency passband confirms unity gain (0.0 dB) up to 50 kHz, with the experimental -3 dB cutoff occurring at approximately 70 kHz. A standard -20 dB/decade roll-off is maintained up to 2 MHz (-32 dB), beyond which breadboard stray capacitance and probe ground loop inductance induce a secondary parasitic transmission peak reaching -17 dB at 10 MHz.</w:t>
      </w:r>
    </w:p>
    <w:p>
      <w:pPr/>
      <w:r>
        <w:t>Voltage Follower Performance Analysis: The simulated voltage follower (Figure 3) demonstrates an ideal passband gain of exactly 0 dB (1.0 V/V) from 10 Hz up to several hundred kilohertz. A slight gain peaking of +2.4 dB is observed at approximately 800 kHz, which is characteristic of reduced phase margin (approximately 55°) when an operational amplifier is operated in unity gain (β = 1). The simulated -3 dB corner frequency occurs at 1.25 MHz, followed by a steady -20 dB/decade roll-off that reaches -55 dB at 10 MHz. The phase begins at 0°, passes through -45° at 700 kHz, and rolls off toward -180° at 1.6 MHz.</w:t>
      </w:r>
    </w:p>
    <w:p>
      <w:pPr/>
      <w:r>
        <w:t>In the physical laboratory measurement (Figure 4), the voltage follower achieves excellent low-frequency gain accuracy of 0.0 dB up to 50 kHz. However, the measured -3 dB corner frequency occurs at approximately 70 kHz, which is substantially lower than the 1.25 MHz predicted by the SPICE macromodel. The response rolls off at approximately -20 dB/decade down to -32 dB at 2 MHz. Above 2 MHz, capacitive feedthrough across the solderless breadboard tracks and ground loop inductance of the oscilloscope probe cause a secondary transmission rebound peaking to -17 dB at 10 MHz. The discrepancy between simulation and measurement in the unity-gain follower is primarily attributable to the capacitive loading introduced by the 10:1 passive oscilloscope probe (approximately 10 pF to 15 pF) combined with breadboard stray capacitance (3 pF to 6 pF between adjacent conductor rows), which directly loads the op-amp output stage and shifts internal high-frequency poles downward.</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18"/>
                    <a:stretch>
                      <a:fillRect/>
                    </a:stretch>
                  </pic:blipFill>
                  <pic:spPr>
                    <a:xfrm>
                      <a:off x="0" y="0"/>
                      <a:ext cx="6189345" cy="1905635"/>
                    </a:xfrm>
                    <a:prstGeom prst="rect">
                      <a:avLst/>
                    </a:prstGeom>
                  </pic:spPr>
                </pic:pic>
              </a:graphicData>
            </a:graphic>
          </wp:inline>
        </w:drawing>
      </w:r>
    </w:p>
    <w:p w14:paraId="71EAC853" w14:textId="7D1DD3AD" w:rsidR="00FC40F3" w:rsidRDefault="00FC40F3" w:rsidP="00FC40F3">
      <w:pPr>
        <w:pStyle w:val="Caption"/>
        <w:rPr>
          <w:lang w:val="en-US"/>
        </w:rPr>
      </w:pPr>
      <w:r>
        <w:t>Figure 5. Simulated small-signal frequency response of the LM358 inverting operational amplifier with unity gain (Av = -1 V/V, 0 dB, Ri = Ro = 1 kΩ) in LTSpice from 10 Hz to 10 MHz. The passband gain is 0.0 dB with an initial phase shift of 180°. Due to a feedback factor of β = 0.5 (closed-loop noise gain of 2 V/V), the -3 dB bandwidth is approximately 580 kHz (≈ GBW / 2). High-frequency attenuation settles near -16.5 dB due to direct passive feedthrough across the 1 kΩ feedback network.</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19"/>
                    <a:stretch>
                      <a:fillRect/>
                    </a:stretch>
                  </pic:blipFill>
                  <pic:spPr>
                    <a:xfrm>
                      <a:off x="0" y="0"/>
                      <a:ext cx="6189345" cy="1899285"/>
                    </a:xfrm>
                    <a:prstGeom prst="rect">
                      <a:avLst/>
                    </a:prstGeom>
                  </pic:spPr>
                </pic:pic>
              </a:graphicData>
            </a:graphic>
          </wp:inline>
        </w:drawing>
      </w:r>
    </w:p>
    <w:p w14:paraId="68AA7F10" w14:textId="53FF1868" w:rsidR="00D05523" w:rsidRPr="00D05523" w:rsidRDefault="00C92E69" w:rsidP="00C92E69">
      <w:pPr>
        <w:pStyle w:val="Caption"/>
        <w:rPr>
          <w:lang w:val="en-US"/>
        </w:rPr>
      </w:pPr>
      <w:r>
        <w:t>Figure 6. Measured small-signal frequency response of the LM358 inverting amplifier with unity gain (Ri = Ro = 1 kΩ) from 100 Hz to 24.83 MHz. The passband exhibits 0.0 dB gain up to 20 kHz, with the -3 dB corner observed at ~33 kHz. A localized gain dip to -4.5 dB occurs at 40 kHz followed by a rebound to -2 dB at 70 kHz and progressive roll-off, with high-frequency board parasitics causing a secondary peak of -12.5 dB at 13 MHz. Phase starts at 180° (with instrumentation wrapping at low frequencies) and trends toward 0°.</w:t>
      </w:r>
    </w:p>
    <w:p>
      <w:pPr/>
      <w:r>
        <w:t>Inverting Unity Gain Performance Analysis: The simulated inverting unity-gain amplifier (Figure 5) exhibits a passband gain of 0.0 dB with an initial phase of 180°, confirming signal inversion. The simulated -3 dB cutoff frequency is situated at 580 kHz. This is less than half the bandwidth of the voltage follower, confirming the theoretical noise gain principle: because the feedback factor is β = Ri / (Ri + Ro) = 0.5, the closed-loop noise gain is 1 + Ro/Ri = 2 V/V (+6 dB), reducing the available closed-loop bandwidth to GBW / 2 ≈ 500 kHz. Above 1 MHz, the simulated gain rolls off toward an attenuation plateau of -16.5 dB at 5 MHz, caused by direct passive signal feedthrough across the 1 kΩ feedback resistor into the op-amp's internal output resistance.</w:t>
      </w:r>
    </w:p>
    <w:p>
      <w:pPr/>
      <w:r>
        <w:t>The measured inverting unity-gain amplifier (Figure 6) confirms the 0.0 dB passband up to 20 kHz. The empirical -3 dB cutoff frequency is recorded at approximately 33 kHz. The measured curve exhibits a localized attenuation dip of -4.5 dB at 40 kHz, followed by a slight rebound to -2.0 dB at 70 kHz and a gradual roll-off down to -8 dB at 1 MHz. Beyond 5 MHz, high-frequency parasitic coupling through the inverting summing node induces a secondary resonance peak reaching -12.5 dB at 13 MHz, before dropping below -18 dB at 24.83 MHz. As with the follower, the reduced experimental bandwidth in unity gain stems from external circuit parasitics interacting with the op-amp's high closed-loop feedback factor.</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0"/>
                    <a:stretch>
                      <a:fillRect/>
                    </a:stretch>
                  </pic:blipFill>
                  <pic:spPr>
                    <a:xfrm>
                      <a:off x="0" y="0"/>
                      <a:ext cx="6189345" cy="1899285"/>
                    </a:xfrm>
                    <a:prstGeom prst="rect">
                      <a:avLst/>
                    </a:prstGeom>
                  </pic:spPr>
                </pic:pic>
              </a:graphicData>
            </a:graphic>
          </wp:inline>
        </w:drawing>
      </w:r>
    </w:p>
    <w:p w14:paraId="7972B8D9" w14:textId="1B14C6B9" w:rsidR="00FC40F3" w:rsidRDefault="00FC40F3" w:rsidP="00FC40F3">
      <w:pPr>
        <w:pStyle w:val="Caption"/>
        <w:rPr>
          <w:lang w:val="en-US"/>
        </w:rPr>
      </w:pPr>
      <w:r>
        <w:t>Figure 7. Simulated small-signal frequency response of the LM358 non-inverting amplifier with nominal gain Av = 1 + Ro/Ri = 101 V/V (+40.08 dB, Ri = 1 kΩ, Ro = 100 kΩ) in LTSpice from 10 Hz to 10 MHz. The -3 dB corner frequency is located at precisely 10.0 kHz (where gain equals +37.08 dB), beyond which the magnitude rolls off at a classic -20 dB/decade slope, crossing 0 dB at 1.01 MHz to confirm the constant Gain-Bandwidth Product (GBW ≈ 1.0 MHz). Phase is 0° at DC and passes through -45° at 10.0 kHz.</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1"/>
                    <a:stretch>
                      <a:fillRect/>
                    </a:stretch>
                  </pic:blipFill>
                  <pic:spPr>
                    <a:xfrm>
                      <a:off x="0" y="0"/>
                      <a:ext cx="6189345" cy="1899285"/>
                    </a:xfrm>
                    <a:prstGeom prst="rect">
                      <a:avLst/>
                    </a:prstGeom>
                  </pic:spPr>
                </pic:pic>
              </a:graphicData>
            </a:graphic>
          </wp:inline>
        </w:drawing>
      </w:r>
    </w:p>
    <w:p w14:paraId="42A6D41A" w14:textId="1F7D7361" w:rsidR="006B6E1D" w:rsidRPr="006B6E1D" w:rsidRDefault="003D2A7A" w:rsidP="003D2A7A">
      <w:pPr>
        <w:pStyle w:val="Caption"/>
        <w:rPr>
          <w:lang w:val="en-US"/>
        </w:rPr>
      </w:pPr>
      <w:r>
        <w:t>Figure 8. Measured small-signal frequency response of the LM358 non-inverting amplifier with nominal gain Av = 101 (+40.08 dB) from 100 Hz to 24.83 MHz. The measured low-frequency gain is +40.1 dB with exceptional passband flatness up to 4 kHz. The empirical -3 dB corner frequency occurs at 8.8 kHz, yielding an experimental GBW = 101 × 8.8 kHz ≈ 889 kHz. A uniform -20 dB/decade roll-off continues through unity-gain crossover at 850 kHz down to 2.5 MHz, before encountering an instrumentation and feedthrough noise floor at -22 dB to -24 dB.</w:t>
      </w:r>
    </w:p>
    <w:p>
      <w:pPr/>
      <w:r>
        <w:t>Non-Inverting High-Gain (Av = 101) Analysis: For the non-inverting amplifier configured for a nominal gain of Av = 1 + 100k/1k = 101 V/V (+40.08 dB), the simulation (Figure 7) shows outstanding agreement with linear theory. The low-frequency passband gain is +40.08 dB, and the -3 dB corner frequency occurs at exactly 10.0 kHz (where gain drops to +37.08 dB). Beyond 10 kHz, the response follows a pristine -20 dB/decade roll-off, intersecting the 0 dB unity-gain axis at 1.01 MHz. This rigorously confirms the constant Gain-Bandwidth Product: GBW = 101 × 10.0 kHz = 1.01 MHz. The phase starts at 0° at DC, passes through -45° at the 10 kHz pole frequency, and approaches -90° throughout the roll-off region.</w:t>
      </w:r>
    </w:p>
    <w:p>
      <w:pPr/>
      <w:r>
        <w:t>The measured non-inverting response (Figure 8) exhibits exceptional agreement with the SPICE simulation. The measured passband gain is +40.1 dB with excellent flatness from 100 Hz to 4 kHz. The empirical -3 dB cutoff frequency is measured at 8.8 kHz, yielding an experimental Gain-Bandwidth Product of GBW = 101 × 8.8 kHz = 889 kHz. The circuit exhibits a clean, uninterrupted -20 dB/decade roll-off from 10 kHz to 2.5 MHz, crossing 0 dB at approximately 850 kHz. Above 3 MHz, the attenuation stabilizes at an instrumentation noise and feedthrough floor of -22 dB to -24 dB. The 11% variance between measured GBW (889 kHz) and nominal simulation (1.01 MHz) is well within the standard ±20% manufacturing process tolerance of the LM358 and the ±1% tolerance of the feedback resistors.</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2"/>
                    <a:stretch>
                      <a:fillRect/>
                    </a:stretch>
                  </pic:blipFill>
                  <pic:spPr>
                    <a:xfrm>
                      <a:off x="0" y="0"/>
                      <a:ext cx="6189345" cy="1905635"/>
                    </a:xfrm>
                    <a:prstGeom prst="rect">
                      <a:avLst/>
                    </a:prstGeom>
                  </pic:spPr>
                </pic:pic>
              </a:graphicData>
            </a:graphic>
          </wp:inline>
        </w:drawing>
      </w:r>
    </w:p>
    <w:p w14:paraId="53823510" w14:textId="6F616EC3" w:rsidR="00FC40F3" w:rsidRDefault="00FC40F3" w:rsidP="00FC40F3">
      <w:pPr>
        <w:pStyle w:val="Caption"/>
        <w:rPr>
          <w:lang w:val="en-US"/>
        </w:rPr>
      </w:pPr>
      <w:r>
        <w:t>Figure 9. Simulated small-signal frequency response of the LM358 inverting amplifier with nominal gain Av = -Ro/Ri = -100 V/V (+40.0 dB, Ri = 1 kΩ, Ro = 100 kΩ) in LTSpice from 10 Hz to 10 MHz. The passband gain is +40.0 dB with 180° phase. The -3 dB corner frequency is located at 9.9 kHz (noise gain = 101), followed by a -20 dB/decade attenuation slope crossing 0 dB at 900 kHz and dropping to -48 dB at 10 MHz. Phase passes through 135° at the corner frequency.</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3"/>
                    <a:stretch>
                      <a:fillRect/>
                    </a:stretch>
                  </pic:blipFill>
                  <pic:spPr>
                    <a:xfrm>
                      <a:off x="0" y="0"/>
                      <a:ext cx="6189345" cy="1905635"/>
                    </a:xfrm>
                    <a:prstGeom prst="rect">
                      <a:avLst/>
                    </a:prstGeom>
                  </pic:spPr>
                </pic:pic>
              </a:graphicData>
            </a:graphic>
          </wp:inline>
        </w:drawing>
      </w:r>
    </w:p>
    <w:p w14:paraId="13D614AE" w14:textId="2D8830C8" w:rsidR="00FC40F3" w:rsidRDefault="001D3EB6" w:rsidP="001D3EB6">
      <w:pPr>
        <w:pStyle w:val="Caption"/>
        <w:rPr>
          <w:lang w:val="en-US"/>
        </w:rPr>
      </w:pPr>
      <w:r>
        <w:t>Figure 10. Measured small-signal frequency response of the LM358 inverting amplifier with nominal gain Av = -100 (+40.0 dB) from 100 Hz to 24.83 MHz. The low-frequency passband demonstrates +40.0 dB gain up to 4 kHz, with the -3 dB cutoff established at 8.9 kHz (GBW ≈ 899 kHz). The response rolls off linearly at -20 dB/decade across 0 dB at 750 kHz down to a notch resonance at 6.8 MHz (-41 dB), followed by stray capacitive peaking to -14 dB at 12 MHz before settling to -20 dB.</w:t>
      </w:r>
    </w:p>
    <w:p w14:paraId="2A9AAB9A" w14:textId="77777777" w:rsidR="00791154" w:rsidRDefault="00791154" w:rsidP="00791154">
      <w:pPr>
        <w:rPr>
          <w:lang w:val="en-US"/>
        </w:rPr>
      </w:pPr>
    </w:p>
    <w:p>
      <w:pPr/>
      <w:r>
        <w:t>Inverting High-Gain (Av = -100) Analysis: The simulated inverting high-gain amplifier (Figure 9) exhibits a low-frequency passband gain of +40.0 dB (|Av| = 100 V/V) with 180° phase inversion. The simulated -3 dB corner frequency is located at 9.9 kHz, governed by the closed-loop noise gain of 1 + Ro/Ri = 101 V/V (f-3dB ≈ 1.0 MHz / 101 ≈ 9.9 kHz). The response rolls off at -20 dB/decade, crossing 0 dB at 900 kHz and reaching -48 dB at 10 MHz. The phase passes through 135° at the corner frequency.</w:t>
      </w:r>
    </w:p>
    <w:p>
      <w:pPr/>
      <w:r>
        <w:t>The measured inverting high-gain amplifier (Figure 10) closely mirrors the simulation, achieving a passband gain of +40.0 dB up to 4 kHz. The experimental -3 dB cutoff frequency is observed at 8.9 kHz, corresponding to an empirical Gain-Bandwidth Product of GBW = 101 × 8.9 kHz = 899 kHz. The curve maintains a linear -20 dB/decade roll-off crossing 0 dB at 750 kHz. At 6.8 MHz, a sharp notch anti-resonance occurs at -41 dB, followed by a stray capacitive resonance peak reaching -14 dB at 12 MHz before leveling out at -20 dB. This notch-peak resonance is produced by the parallel combination of the 100 kΩ feedback resistor with stray board capacitance (approximately 0.5 pF to 1 pF across the resistor package) interacting with the op-amp's internal output inductive impedance at VHF frequencies.</w:t>
      </w:r>
    </w:p>
    <w:p>
      <w:pPr/>
      <w:r>
        <w:t>Synthesis and GBW Constancy: The experimental findings demonstrate that the Gain-Bandwidth Product remains highly consistent across both high-gain configurations (889 kHz for non-inverting and 899 kHz for inverting), validating the constant-GBW trade-off predicted by classical feedback theory. The substantial bandwidth reduction observed in the unity-gain experimental circuits demonstrates that lower-gain configurations are far more sensitive to external capacitive loading and parasitic board reactances, because their large feedback factor (β ≈ 0.5 to 1.0) forces the closed-loop bandwidth into the high-frequency regime where layout parasitics dominate. Table 1 summarizes the simulated versus measured performance parameters across all four configurations.</w:t>
      </w:r>
    </w:p>
    <w:p>
      <w:pPr>
        <w:pStyle w:val="Kuvateksti"/>
      </w:pPr>
      <w:r>
        <w:t>Table 1. Comprehensive performance comparison of simulated (LTSpice) versus measured laboratory frequency response parameters for the LM358 operational amplifier across four closed-loop configurations.</w:t>
      </w:r>
    </w:p>
    <w:tbl>
      <w:tblPr>
        <w:tblW w:type="auto" w:w="0"/>
        <w:jc w:val="center"/>
        <w:tblLook w:firstColumn="1" w:firstRow="1" w:lastColumn="0" w:lastRow="0" w:noHBand="0" w:noVBand="1" w:val="04A0"/>
        <w:tblBorders>
          <w:top w:val="single" w:sz="6" w:space="0" w:color="B0B0B0"/>
          <w:bottom w:val="single" w:sz="6" w:space="0" w:color="B0B0B0"/>
          <w:insideH w:val="single" w:sz="4" w:space="0" w:color="B0B0B0"/>
          <w:insideV w:val="none"/>
          <w:left w:val="none"/>
          <w:right w:val="none"/>
        </w:tblBorders>
      </w:tblPr>
      <w:tblGrid>
        <w:gridCol w:w="1218"/>
        <w:gridCol w:w="1218"/>
        <w:gridCol w:w="1218"/>
        <w:gridCol w:w="1218"/>
        <w:gridCol w:w="1218"/>
        <w:gridCol w:w="1218"/>
        <w:gridCol w:w="1218"/>
        <w:gridCol w:w="1218"/>
      </w:tblGrid>
      <w:tr>
        <w:tc>
          <w:tcPr>
            <w:tcW w:type="dxa" w:w="1218"/>
            <w:shd w:fill="EAECEE"/>
            <w:tcMar>
              <w:top w:w="80" w:type="dxa"/>
              <w:bottom w:w="80" w:type="dxa"/>
              <w:left w:w="100" w:type="dxa"/>
              <w:right w:w="100" w:type="dxa"/>
            </w:tcMar>
          </w:tcPr>
          <w:p>
            <w:pPr>
              <w:jc w:val="center"/>
            </w:pPr>
            <w:r>
              <w:rPr>
                <w:b/>
                <w:sz w:val="17"/>
              </w:rPr>
              <w:t>Circuit Configuration</w:t>
            </w:r>
          </w:p>
        </w:tc>
        <w:tc>
          <w:tcPr>
            <w:tcW w:type="dxa" w:w="1218"/>
            <w:shd w:fill="EAECEE"/>
            <w:tcMar>
              <w:top w:w="80" w:type="dxa"/>
              <w:bottom w:w="80" w:type="dxa"/>
              <w:left w:w="100" w:type="dxa"/>
              <w:right w:w="100" w:type="dxa"/>
            </w:tcMar>
          </w:tcPr>
          <w:p>
            <w:pPr>
              <w:jc w:val="center"/>
            </w:pPr>
            <w:r>
              <w:rPr>
                <w:b/>
                <w:sz w:val="17"/>
              </w:rPr>
              <w:t>Nominal Gain (Av)</w:t>
            </w:r>
          </w:p>
        </w:tc>
        <w:tc>
          <w:tcPr>
            <w:tcW w:type="dxa" w:w="1218"/>
            <w:shd w:fill="EAECEE"/>
            <w:tcMar>
              <w:top w:w="80" w:type="dxa"/>
              <w:bottom w:w="80" w:type="dxa"/>
              <w:left w:w="100" w:type="dxa"/>
              <w:right w:w="100" w:type="dxa"/>
            </w:tcMar>
          </w:tcPr>
          <w:p>
            <w:pPr>
              <w:jc w:val="center"/>
            </w:pPr>
            <w:r>
              <w:rPr>
                <w:b/>
                <w:sz w:val="17"/>
              </w:rPr>
              <w:t>Simulated Gain (dB)</w:t>
            </w:r>
          </w:p>
        </w:tc>
        <w:tc>
          <w:tcPr>
            <w:tcW w:type="dxa" w:w="1218"/>
            <w:shd w:fill="EAECEE"/>
            <w:tcMar>
              <w:top w:w="80" w:type="dxa"/>
              <w:bottom w:w="80" w:type="dxa"/>
              <w:left w:w="100" w:type="dxa"/>
              <w:right w:w="100" w:type="dxa"/>
            </w:tcMar>
          </w:tcPr>
          <w:p>
            <w:pPr>
              <w:jc w:val="center"/>
            </w:pPr>
            <w:r>
              <w:rPr>
                <w:b/>
                <w:sz w:val="17"/>
              </w:rPr>
              <w:t>Measured Gain (dB)</w:t>
            </w:r>
          </w:p>
        </w:tc>
        <w:tc>
          <w:tcPr>
            <w:tcW w:type="dxa" w:w="1218"/>
            <w:shd w:fill="EAECEE"/>
            <w:tcMar>
              <w:top w:w="80" w:type="dxa"/>
              <w:bottom w:w="80" w:type="dxa"/>
              <w:left w:w="100" w:type="dxa"/>
              <w:right w:w="100" w:type="dxa"/>
            </w:tcMar>
          </w:tcPr>
          <w:p>
            <w:pPr>
              <w:jc w:val="center"/>
            </w:pPr>
            <w:r>
              <w:rPr>
                <w:b/>
                <w:sz w:val="17"/>
              </w:rPr>
              <w:t>Simulated f-3dB</w:t>
            </w:r>
          </w:p>
        </w:tc>
        <w:tc>
          <w:tcPr>
            <w:tcW w:type="dxa" w:w="1218"/>
            <w:shd w:fill="EAECEE"/>
            <w:tcMar>
              <w:top w:w="80" w:type="dxa"/>
              <w:bottom w:w="80" w:type="dxa"/>
              <w:left w:w="100" w:type="dxa"/>
              <w:right w:w="100" w:type="dxa"/>
            </w:tcMar>
          </w:tcPr>
          <w:p>
            <w:pPr>
              <w:jc w:val="center"/>
            </w:pPr>
            <w:r>
              <w:rPr>
                <w:b/>
                <w:sz w:val="17"/>
              </w:rPr>
              <w:t>Measured f-3dB</w:t>
            </w:r>
          </w:p>
        </w:tc>
        <w:tc>
          <w:tcPr>
            <w:tcW w:type="dxa" w:w="1218"/>
            <w:shd w:fill="EAECEE"/>
            <w:tcMar>
              <w:top w:w="80" w:type="dxa"/>
              <w:bottom w:w="80" w:type="dxa"/>
              <w:left w:w="100" w:type="dxa"/>
              <w:right w:w="100" w:type="dxa"/>
            </w:tcMar>
          </w:tcPr>
          <w:p>
            <w:pPr>
              <w:jc w:val="center"/>
            </w:pPr>
            <w:r>
              <w:rPr>
                <w:b/>
                <w:sz w:val="17"/>
              </w:rPr>
              <w:t>Measured GBW</w:t>
            </w:r>
          </w:p>
        </w:tc>
        <w:tc>
          <w:tcPr>
            <w:tcW w:type="dxa" w:w="1218"/>
            <w:shd w:fill="EAECEE"/>
            <w:tcMar>
              <w:top w:w="80" w:type="dxa"/>
              <w:bottom w:w="80" w:type="dxa"/>
              <w:left w:w="100" w:type="dxa"/>
              <w:right w:w="100" w:type="dxa"/>
            </w:tcMar>
          </w:tcPr>
          <w:p>
            <w:pPr>
              <w:jc w:val="center"/>
            </w:pPr>
            <w:r>
              <w:rPr>
                <w:b/>
                <w:sz w:val="17"/>
              </w:rPr>
              <w:t>Key Anomaly / Parasitic Effect</w:t>
            </w:r>
          </w:p>
        </w:tc>
      </w:tr>
      <w:tr>
        <w:tc>
          <w:tcPr>
            <w:tcW w:type="dxa" w:w="1218"/>
            <w:shd w:fill="FFFFFF"/>
            <w:tcMar>
              <w:top w:w="60" w:type="dxa"/>
              <w:bottom w:w="60" w:type="dxa"/>
              <w:left w:w="100" w:type="dxa"/>
              <w:right w:w="100" w:type="dxa"/>
            </w:tcMar>
          </w:tcPr>
          <w:p>
            <w:pPr>
              <w:jc w:val="left"/>
            </w:pPr>
            <w:r>
              <w:rPr>
                <w:sz w:val="16"/>
              </w:rPr>
              <w:t>Voltage Follower (Unity)</w:t>
            </w:r>
          </w:p>
        </w:tc>
        <w:tc>
          <w:tcPr>
            <w:tcW w:type="dxa" w:w="1218"/>
            <w:shd w:fill="FFFFFF"/>
            <w:tcMar>
              <w:top w:w="60" w:type="dxa"/>
              <w:bottom w:w="60" w:type="dxa"/>
              <w:left w:w="100" w:type="dxa"/>
              <w:right w:w="100" w:type="dxa"/>
            </w:tcMar>
          </w:tcPr>
          <w:p>
            <w:pPr>
              <w:jc w:val="center"/>
            </w:pPr>
            <w:r>
              <w:rPr>
                <w:sz w:val="16"/>
              </w:rPr>
              <w:t>1 V/V (0 dB)</w:t>
            </w:r>
          </w:p>
        </w:tc>
        <w:tc>
          <w:tcPr>
            <w:tcW w:type="dxa" w:w="1218"/>
            <w:shd w:fill="FFFFFF"/>
            <w:tcMar>
              <w:top w:w="60" w:type="dxa"/>
              <w:bottom w:w="60" w:type="dxa"/>
              <w:left w:w="100" w:type="dxa"/>
              <w:right w:w="100" w:type="dxa"/>
            </w:tcMar>
          </w:tcPr>
          <w:p>
            <w:pPr>
              <w:jc w:val="center"/>
            </w:pPr>
            <w:r>
              <w:rPr>
                <w:sz w:val="16"/>
              </w:rPr>
              <w:t>0.0 dB</w:t>
            </w:r>
          </w:p>
        </w:tc>
        <w:tc>
          <w:tcPr>
            <w:tcW w:type="dxa" w:w="1218"/>
            <w:shd w:fill="FFFFFF"/>
            <w:tcMar>
              <w:top w:w="60" w:type="dxa"/>
              <w:bottom w:w="60" w:type="dxa"/>
              <w:left w:w="100" w:type="dxa"/>
              <w:right w:w="100" w:type="dxa"/>
            </w:tcMar>
          </w:tcPr>
          <w:p>
            <w:pPr>
              <w:jc w:val="center"/>
            </w:pPr>
            <w:r>
              <w:rPr>
                <w:sz w:val="16"/>
              </w:rPr>
              <w:t>0.0 dB</w:t>
            </w:r>
          </w:p>
        </w:tc>
        <w:tc>
          <w:tcPr>
            <w:tcW w:type="dxa" w:w="1218"/>
            <w:shd w:fill="FFFFFF"/>
            <w:tcMar>
              <w:top w:w="60" w:type="dxa"/>
              <w:bottom w:w="60" w:type="dxa"/>
              <w:left w:w="100" w:type="dxa"/>
              <w:right w:w="100" w:type="dxa"/>
            </w:tcMar>
          </w:tcPr>
          <w:p>
            <w:pPr>
              <w:jc w:val="center"/>
            </w:pPr>
            <w:r>
              <w:rPr>
                <w:sz w:val="16"/>
              </w:rPr>
              <w:t>1.25 MHz</w:t>
            </w:r>
          </w:p>
        </w:tc>
        <w:tc>
          <w:tcPr>
            <w:tcW w:type="dxa" w:w="1218"/>
            <w:shd w:fill="FFFFFF"/>
            <w:tcMar>
              <w:top w:w="60" w:type="dxa"/>
              <w:bottom w:w="60" w:type="dxa"/>
              <w:left w:w="100" w:type="dxa"/>
              <w:right w:w="100" w:type="dxa"/>
            </w:tcMar>
          </w:tcPr>
          <w:p>
            <w:pPr>
              <w:jc w:val="center"/>
            </w:pPr>
            <w:r>
              <w:rPr>
                <w:sz w:val="16"/>
              </w:rPr>
              <w:t>70.0 kHz</w:t>
            </w:r>
          </w:p>
        </w:tc>
        <w:tc>
          <w:tcPr>
            <w:tcW w:type="dxa" w:w="1218"/>
            <w:shd w:fill="FFFFFF"/>
            <w:tcMar>
              <w:top w:w="60" w:type="dxa"/>
              <w:bottom w:w="60" w:type="dxa"/>
              <w:left w:w="100" w:type="dxa"/>
              <w:right w:w="100" w:type="dxa"/>
            </w:tcMar>
          </w:tcPr>
          <w:p>
            <w:pPr>
              <w:jc w:val="center"/>
            </w:pPr>
            <w:r>
              <w:rPr>
                <w:sz w:val="16"/>
              </w:rPr>
              <w:t>—</w:t>
            </w:r>
          </w:p>
        </w:tc>
        <w:tc>
          <w:tcPr>
            <w:tcW w:type="dxa" w:w="1218"/>
            <w:shd w:fill="FFFFFF"/>
            <w:tcMar>
              <w:top w:w="60" w:type="dxa"/>
              <w:bottom w:w="60" w:type="dxa"/>
              <w:left w:w="100" w:type="dxa"/>
              <w:right w:w="100" w:type="dxa"/>
            </w:tcMar>
          </w:tcPr>
          <w:p>
            <w:pPr>
              <w:jc w:val="left"/>
            </w:pPr>
            <w:r>
              <w:rPr>
                <w:sz w:val="16"/>
              </w:rPr>
              <w:t>Probe &amp; board capacitance shifts dominant pole</w:t>
            </w:r>
          </w:p>
        </w:tc>
      </w:tr>
      <w:tr>
        <w:tc>
          <w:tcPr>
            <w:tcW w:type="dxa" w:w="1218"/>
            <w:shd w:fill="F9F9F9"/>
            <w:tcMar>
              <w:top w:w="60" w:type="dxa"/>
              <w:bottom w:w="60" w:type="dxa"/>
              <w:left w:w="100" w:type="dxa"/>
              <w:right w:w="100" w:type="dxa"/>
            </w:tcMar>
          </w:tcPr>
          <w:p>
            <w:pPr>
              <w:jc w:val="left"/>
            </w:pPr>
            <w:r>
              <w:rPr>
                <w:sz w:val="16"/>
              </w:rPr>
              <w:t>Inverting Unity Gain</w:t>
            </w:r>
          </w:p>
        </w:tc>
        <w:tc>
          <w:tcPr>
            <w:tcW w:type="dxa" w:w="1218"/>
            <w:shd w:fill="F9F9F9"/>
            <w:tcMar>
              <w:top w:w="60" w:type="dxa"/>
              <w:bottom w:w="60" w:type="dxa"/>
              <w:left w:w="100" w:type="dxa"/>
              <w:right w:w="100" w:type="dxa"/>
            </w:tcMar>
          </w:tcPr>
          <w:p>
            <w:pPr>
              <w:jc w:val="center"/>
            </w:pPr>
            <w:r>
              <w:rPr>
                <w:sz w:val="16"/>
              </w:rPr>
              <w:t>-1 V/V (0 dB)</w:t>
            </w:r>
          </w:p>
        </w:tc>
        <w:tc>
          <w:tcPr>
            <w:tcW w:type="dxa" w:w="1218"/>
            <w:shd w:fill="F9F9F9"/>
            <w:tcMar>
              <w:top w:w="60" w:type="dxa"/>
              <w:bottom w:w="60" w:type="dxa"/>
              <w:left w:w="100" w:type="dxa"/>
              <w:right w:w="100" w:type="dxa"/>
            </w:tcMar>
          </w:tcPr>
          <w:p>
            <w:pPr>
              <w:jc w:val="center"/>
            </w:pPr>
            <w:r>
              <w:rPr>
                <w:sz w:val="16"/>
              </w:rPr>
              <w:t>0.0 dB</w:t>
            </w:r>
          </w:p>
        </w:tc>
        <w:tc>
          <w:tcPr>
            <w:tcW w:type="dxa" w:w="1218"/>
            <w:shd w:fill="F9F9F9"/>
            <w:tcMar>
              <w:top w:w="60" w:type="dxa"/>
              <w:bottom w:w="60" w:type="dxa"/>
              <w:left w:w="100" w:type="dxa"/>
              <w:right w:w="100" w:type="dxa"/>
            </w:tcMar>
          </w:tcPr>
          <w:p>
            <w:pPr>
              <w:jc w:val="center"/>
            </w:pPr>
            <w:r>
              <w:rPr>
                <w:sz w:val="16"/>
              </w:rPr>
              <w:t>0.0 dB</w:t>
            </w:r>
          </w:p>
        </w:tc>
        <w:tc>
          <w:tcPr>
            <w:tcW w:type="dxa" w:w="1218"/>
            <w:shd w:fill="F9F9F9"/>
            <w:tcMar>
              <w:top w:w="60" w:type="dxa"/>
              <w:bottom w:w="60" w:type="dxa"/>
              <w:left w:w="100" w:type="dxa"/>
              <w:right w:w="100" w:type="dxa"/>
            </w:tcMar>
          </w:tcPr>
          <w:p>
            <w:pPr>
              <w:jc w:val="center"/>
            </w:pPr>
            <w:r>
              <w:rPr>
                <w:sz w:val="16"/>
              </w:rPr>
              <w:t>580 kHz</w:t>
            </w:r>
          </w:p>
        </w:tc>
        <w:tc>
          <w:tcPr>
            <w:tcW w:type="dxa" w:w="1218"/>
            <w:shd w:fill="F9F9F9"/>
            <w:tcMar>
              <w:top w:w="60" w:type="dxa"/>
              <w:bottom w:w="60" w:type="dxa"/>
              <w:left w:w="100" w:type="dxa"/>
              <w:right w:w="100" w:type="dxa"/>
            </w:tcMar>
          </w:tcPr>
          <w:p>
            <w:pPr>
              <w:jc w:val="center"/>
            </w:pPr>
            <w:r>
              <w:rPr>
                <w:sz w:val="16"/>
              </w:rPr>
              <w:t>33.0 kHz</w:t>
            </w:r>
          </w:p>
        </w:tc>
        <w:tc>
          <w:tcPr>
            <w:tcW w:type="dxa" w:w="1218"/>
            <w:shd w:fill="F9F9F9"/>
            <w:tcMar>
              <w:top w:w="60" w:type="dxa"/>
              <w:bottom w:w="60" w:type="dxa"/>
              <w:left w:w="100" w:type="dxa"/>
              <w:right w:w="100" w:type="dxa"/>
            </w:tcMar>
          </w:tcPr>
          <w:p>
            <w:pPr>
              <w:jc w:val="center"/>
            </w:pPr>
            <w:r>
              <w:rPr>
                <w:sz w:val="16"/>
              </w:rPr>
              <w:t>—</w:t>
            </w:r>
          </w:p>
        </w:tc>
        <w:tc>
          <w:tcPr>
            <w:tcW w:type="dxa" w:w="1218"/>
            <w:shd w:fill="F9F9F9"/>
            <w:tcMar>
              <w:top w:w="60" w:type="dxa"/>
              <w:bottom w:w="60" w:type="dxa"/>
              <w:left w:w="100" w:type="dxa"/>
              <w:right w:w="100" w:type="dxa"/>
            </w:tcMar>
          </w:tcPr>
          <w:p>
            <w:pPr>
              <w:jc w:val="left"/>
            </w:pPr>
            <w:r>
              <w:rPr>
                <w:sz w:val="16"/>
              </w:rPr>
              <w:t>Noise gain = 2; high-frequency parasitic peak at 13 MHz</w:t>
            </w:r>
          </w:p>
        </w:tc>
      </w:tr>
      <w:tr>
        <w:tc>
          <w:tcPr>
            <w:tcW w:type="dxa" w:w="1218"/>
            <w:shd w:fill="FFFFFF"/>
            <w:tcMar>
              <w:top w:w="60" w:type="dxa"/>
              <w:bottom w:w="60" w:type="dxa"/>
              <w:left w:w="100" w:type="dxa"/>
              <w:right w:w="100" w:type="dxa"/>
            </w:tcMar>
          </w:tcPr>
          <w:p>
            <w:pPr>
              <w:jc w:val="left"/>
            </w:pPr>
            <w:r>
              <w:rPr>
                <w:sz w:val="16"/>
              </w:rPr>
              <w:t>Non-Inverting Av = 100</w:t>
            </w:r>
          </w:p>
        </w:tc>
        <w:tc>
          <w:tcPr>
            <w:tcW w:type="dxa" w:w="1218"/>
            <w:shd w:fill="FFFFFF"/>
            <w:tcMar>
              <w:top w:w="60" w:type="dxa"/>
              <w:bottom w:w="60" w:type="dxa"/>
              <w:left w:w="100" w:type="dxa"/>
              <w:right w:w="100" w:type="dxa"/>
            </w:tcMar>
          </w:tcPr>
          <w:p>
            <w:pPr>
              <w:jc w:val="center"/>
            </w:pPr>
            <w:r>
              <w:rPr>
                <w:sz w:val="16"/>
              </w:rPr>
              <w:t>101 V/V (+40.1 dB)</w:t>
            </w:r>
          </w:p>
        </w:tc>
        <w:tc>
          <w:tcPr>
            <w:tcW w:type="dxa" w:w="1218"/>
            <w:shd w:fill="FFFFFF"/>
            <w:tcMar>
              <w:top w:w="60" w:type="dxa"/>
              <w:bottom w:w="60" w:type="dxa"/>
              <w:left w:w="100" w:type="dxa"/>
              <w:right w:w="100" w:type="dxa"/>
            </w:tcMar>
          </w:tcPr>
          <w:p>
            <w:pPr>
              <w:jc w:val="center"/>
            </w:pPr>
            <w:r>
              <w:rPr>
                <w:sz w:val="16"/>
              </w:rPr>
              <w:t>+40.08 dB</w:t>
            </w:r>
          </w:p>
        </w:tc>
        <w:tc>
          <w:tcPr>
            <w:tcW w:type="dxa" w:w="1218"/>
            <w:shd w:fill="FFFFFF"/>
            <w:tcMar>
              <w:top w:w="60" w:type="dxa"/>
              <w:bottom w:w="60" w:type="dxa"/>
              <w:left w:w="100" w:type="dxa"/>
              <w:right w:w="100" w:type="dxa"/>
            </w:tcMar>
          </w:tcPr>
          <w:p>
            <w:pPr>
              <w:jc w:val="center"/>
            </w:pPr>
            <w:r>
              <w:rPr>
                <w:sz w:val="16"/>
              </w:rPr>
              <w:t>+40.1 dB</w:t>
            </w:r>
          </w:p>
        </w:tc>
        <w:tc>
          <w:tcPr>
            <w:tcW w:type="dxa" w:w="1218"/>
            <w:shd w:fill="FFFFFF"/>
            <w:tcMar>
              <w:top w:w="60" w:type="dxa"/>
              <w:bottom w:w="60" w:type="dxa"/>
              <w:left w:w="100" w:type="dxa"/>
              <w:right w:w="100" w:type="dxa"/>
            </w:tcMar>
          </w:tcPr>
          <w:p>
            <w:pPr>
              <w:jc w:val="center"/>
            </w:pPr>
            <w:r>
              <w:rPr>
                <w:sz w:val="16"/>
              </w:rPr>
              <w:t>10.0 kHz</w:t>
            </w:r>
          </w:p>
        </w:tc>
        <w:tc>
          <w:tcPr>
            <w:tcW w:type="dxa" w:w="1218"/>
            <w:shd w:fill="FFFFFF"/>
            <w:tcMar>
              <w:top w:w="60" w:type="dxa"/>
              <w:bottom w:w="60" w:type="dxa"/>
              <w:left w:w="100" w:type="dxa"/>
              <w:right w:w="100" w:type="dxa"/>
            </w:tcMar>
          </w:tcPr>
          <w:p>
            <w:pPr>
              <w:jc w:val="center"/>
            </w:pPr>
            <w:r>
              <w:rPr>
                <w:sz w:val="16"/>
              </w:rPr>
              <w:t>8.8 kHz</w:t>
            </w:r>
          </w:p>
        </w:tc>
        <w:tc>
          <w:tcPr>
            <w:tcW w:type="dxa" w:w="1218"/>
            <w:shd w:fill="FFFFFF"/>
            <w:tcMar>
              <w:top w:w="60" w:type="dxa"/>
              <w:bottom w:w="60" w:type="dxa"/>
              <w:left w:w="100" w:type="dxa"/>
              <w:right w:w="100" w:type="dxa"/>
            </w:tcMar>
          </w:tcPr>
          <w:p>
            <w:pPr>
              <w:jc w:val="center"/>
            </w:pPr>
            <w:r>
              <w:rPr>
                <w:sz w:val="16"/>
              </w:rPr>
              <w:t>889 kHz</w:t>
            </w:r>
          </w:p>
        </w:tc>
        <w:tc>
          <w:tcPr>
            <w:tcW w:type="dxa" w:w="1218"/>
            <w:shd w:fill="FFFFFF"/>
            <w:tcMar>
              <w:top w:w="60" w:type="dxa"/>
              <w:bottom w:w="60" w:type="dxa"/>
              <w:left w:w="100" w:type="dxa"/>
              <w:right w:w="100" w:type="dxa"/>
            </w:tcMar>
          </w:tcPr>
          <w:p>
            <w:pPr>
              <w:jc w:val="left"/>
            </w:pPr>
            <w:r>
              <w:rPr>
                <w:sz w:val="16"/>
              </w:rPr>
              <w:t>Textbook -20 dB/dec roll-off; noise floor at -24 dB</w:t>
            </w:r>
          </w:p>
        </w:tc>
      </w:tr>
      <w:tr>
        <w:tc>
          <w:tcPr>
            <w:tcW w:type="dxa" w:w="1218"/>
            <w:shd w:fill="F9F9F9"/>
            <w:tcMar>
              <w:top w:w="60" w:type="dxa"/>
              <w:bottom w:w="60" w:type="dxa"/>
              <w:left w:w="100" w:type="dxa"/>
              <w:right w:w="100" w:type="dxa"/>
            </w:tcMar>
          </w:tcPr>
          <w:p>
            <w:pPr>
              <w:jc w:val="left"/>
            </w:pPr>
            <w:r>
              <w:rPr>
                <w:sz w:val="16"/>
              </w:rPr>
              <w:t>Inverting Av = 100</w:t>
            </w:r>
          </w:p>
        </w:tc>
        <w:tc>
          <w:tcPr>
            <w:tcW w:type="dxa" w:w="1218"/>
            <w:shd w:fill="F9F9F9"/>
            <w:tcMar>
              <w:top w:w="60" w:type="dxa"/>
              <w:bottom w:w="60" w:type="dxa"/>
              <w:left w:w="100" w:type="dxa"/>
              <w:right w:w="100" w:type="dxa"/>
            </w:tcMar>
          </w:tcPr>
          <w:p>
            <w:pPr>
              <w:jc w:val="center"/>
            </w:pPr>
            <w:r>
              <w:rPr>
                <w:sz w:val="16"/>
              </w:rPr>
              <w:t>-100 V/V (+40.0 dB)</w:t>
            </w:r>
          </w:p>
        </w:tc>
        <w:tc>
          <w:tcPr>
            <w:tcW w:type="dxa" w:w="1218"/>
            <w:shd w:fill="F9F9F9"/>
            <w:tcMar>
              <w:top w:w="60" w:type="dxa"/>
              <w:bottom w:w="60" w:type="dxa"/>
              <w:left w:w="100" w:type="dxa"/>
              <w:right w:w="100" w:type="dxa"/>
            </w:tcMar>
          </w:tcPr>
          <w:p>
            <w:pPr>
              <w:jc w:val="center"/>
            </w:pPr>
            <w:r>
              <w:rPr>
                <w:sz w:val="16"/>
              </w:rPr>
              <w:t>+40.0 dB</w:t>
            </w:r>
          </w:p>
        </w:tc>
        <w:tc>
          <w:tcPr>
            <w:tcW w:type="dxa" w:w="1218"/>
            <w:shd w:fill="F9F9F9"/>
            <w:tcMar>
              <w:top w:w="60" w:type="dxa"/>
              <w:bottom w:w="60" w:type="dxa"/>
              <w:left w:w="100" w:type="dxa"/>
              <w:right w:w="100" w:type="dxa"/>
            </w:tcMar>
          </w:tcPr>
          <w:p>
            <w:pPr>
              <w:jc w:val="center"/>
            </w:pPr>
            <w:r>
              <w:rPr>
                <w:sz w:val="16"/>
              </w:rPr>
              <w:t>+40.0 dB</w:t>
            </w:r>
          </w:p>
        </w:tc>
        <w:tc>
          <w:tcPr>
            <w:tcW w:type="dxa" w:w="1218"/>
            <w:shd w:fill="F9F9F9"/>
            <w:tcMar>
              <w:top w:w="60" w:type="dxa"/>
              <w:bottom w:w="60" w:type="dxa"/>
              <w:left w:w="100" w:type="dxa"/>
              <w:right w:w="100" w:type="dxa"/>
            </w:tcMar>
          </w:tcPr>
          <w:p>
            <w:pPr>
              <w:jc w:val="center"/>
            </w:pPr>
            <w:r>
              <w:rPr>
                <w:sz w:val="16"/>
              </w:rPr>
              <w:t>9.9 kHz</w:t>
            </w:r>
          </w:p>
        </w:tc>
        <w:tc>
          <w:tcPr>
            <w:tcW w:type="dxa" w:w="1218"/>
            <w:shd w:fill="F9F9F9"/>
            <w:tcMar>
              <w:top w:w="60" w:type="dxa"/>
              <w:bottom w:w="60" w:type="dxa"/>
              <w:left w:w="100" w:type="dxa"/>
              <w:right w:w="100" w:type="dxa"/>
            </w:tcMar>
          </w:tcPr>
          <w:p>
            <w:pPr>
              <w:jc w:val="center"/>
            </w:pPr>
            <w:r>
              <w:rPr>
                <w:sz w:val="16"/>
              </w:rPr>
              <w:t>8.9 kHz</w:t>
            </w:r>
          </w:p>
        </w:tc>
        <w:tc>
          <w:tcPr>
            <w:tcW w:type="dxa" w:w="1218"/>
            <w:shd w:fill="F9F9F9"/>
            <w:tcMar>
              <w:top w:w="60" w:type="dxa"/>
              <w:bottom w:w="60" w:type="dxa"/>
              <w:left w:w="100" w:type="dxa"/>
              <w:right w:w="100" w:type="dxa"/>
            </w:tcMar>
          </w:tcPr>
          <w:p>
            <w:pPr>
              <w:jc w:val="center"/>
            </w:pPr>
            <w:r>
              <w:rPr>
                <w:sz w:val="16"/>
              </w:rPr>
              <w:t>899 kHz</w:t>
            </w:r>
          </w:p>
        </w:tc>
        <w:tc>
          <w:tcPr>
            <w:tcW w:type="dxa" w:w="1218"/>
            <w:shd w:fill="F9F9F9"/>
            <w:tcMar>
              <w:top w:w="60" w:type="dxa"/>
              <w:bottom w:w="60" w:type="dxa"/>
              <w:left w:w="100" w:type="dxa"/>
              <w:right w:w="100" w:type="dxa"/>
            </w:tcMar>
          </w:tcPr>
          <w:p>
            <w:pPr>
              <w:jc w:val="left"/>
            </w:pPr>
            <w:r>
              <w:rPr>
                <w:sz w:val="16"/>
              </w:rPr>
              <w:t>Anti-resonance notch at 6.8 MHz; peaking at 12 MHz</w:t>
            </w:r>
          </w:p>
        </w:tc>
      </w:tr>
    </w:tbl>
    <w:p>
      <w:pPr/>
    </w:p>
    <w:p w14:paraId="04C7B030" w14:textId="05180110" w:rsidR="00791154" w:rsidRDefault="00791154" w:rsidP="00791154">
      <w:pPr>
        <w:pStyle w:val="Heading2"/>
        <w:rPr>
          <w:lang w:val="en-US"/>
        </w:rPr>
      </w:pPr>
      <w:r>
        <w:rPr>
          <w:lang w:val="en-US"/>
        </w:rPr>
        <w:t>Input Impedance</w:t>
      </w:r>
    </w:p>
    <w:p>
      <w:pPr/>
      <w:r>
        <w:t>The experimental and simulation results for input impedance across both operational amplifier topologies are presented and evaluated below, examining their agreement with theoretical formulations and their practical implications for analog system design:</w:t>
      </w:r>
    </w:p>
    <w:p>
      <w:pPr/>
      <w:r>
        <w:t>1. Inverting Amplifier Input Impedance Results: In both the unity-gain (Av = -1 V/V) and high-gain (Av = -100 V/V) inverting amplifier circuits, the experimental and simulated input impedance was verified to be strictly governed by the input coupling resistor Ri = 1.0 kΩ:</w:t>
      </w:r>
    </w:p>
    <w:p>
      <w:pPr/>
      <w:r>
        <w:t xml:space="preserve">    • In LTSpice small-signal AC current analysis, Zin,inv(f) remained exactly 1.000 kΩ across the entire passband from 10 Hz to 100 kHz. Above 1 MHz, as the internal open-loop gain AOL(f) collapsed, the inverting terminal ceased to function as an ideal virtual ground, resulting in a slight high-frequency impedance variation approaching Ri + (Ro || Zout).</w:t>
      </w:r>
    </w:p>
    <w:p>
      <w:pPr/>
      <w:r>
        <w:t xml:space="preserve">    • In laboratory bench testing, the measured input resistance was 1.00 kΩ ± 1% throughout the passband. Oscilloscope probing confirmed that the inverting summing junction (pin 2) remained held within millivolts of true ground potential, verifying the robust maintenance of the virtual ground condition during active amplification.</w:t>
      </w:r>
    </w:p>
    <w:p>
      <w:pPr/>
      <w:r>
        <w:t xml:space="preserve">    • Source Loading Implications: These results demonstrate the severe source loading constraint inherent to the inverting topology. If an inverting amplifier is excited by a transducer with an internal output resistance of Rs = 500 Ω, the effective closed-loop gain is degraded by a factor of Ri / (Rs + Ri) = 1000 / (500 + 1000) = 0.667 (-3.52 dB attenuation), introducing substantial gain error unless a buffer stage precedes the circuit.</w:t>
      </w:r>
    </w:p>
    <w:p>
      <w:pPr/>
      <w:r>
        <w:t>2. Non-Inverting Amplifier and Voltage Follower Input Impedance Results: For the voltage follower (Av = 1 V/V) and non-inverting amplifier (Av = 101 V/V), the input impedance exhibited the high-impedance characteristics of the LM358's internal PNP differential input stage:</w:t>
      </w:r>
    </w:p>
    <w:p>
      <w:pPr/>
      <w:r>
        <w:t xml:space="preserve">    • In LTSpice simulation, the low-frequency input resistance exceeded 1.0 GΩ, driven by the loop-gain bootstrapping factor rin,diff · [1 + AOL(f)β]. Above 50 kHz, the input impedance transitioned to a capacitive roll-off dominated by the common-mode input capacitance Cin ≈ 2.2 pF, exhibiting |Zin| ≈ 1 / (2π f Cin) ≈ 720 kΩ at 100 kHz and 72 kΩ at 1 MHz.</w:t>
      </w:r>
    </w:p>
    <w:p>
      <w:pPr/>
      <w:r>
        <w:t xml:space="preserve">    • In laboratory measurements using the series sensing resistor method (Rsense = 100 kΩ), the signal attenuation between the generator terminal and the op-amp input pin was negligible (&lt; 0.5% at 1 kHz), establishing an empirical input resistance Zin &gt; 20 MΩ. The measurement was bounded primarily by the instrument's input impedance and breadboard substrate surface leakage rather than the internal op-amp silicon. At higher frequencies (&gt; 500 kHz), the effective impedance was dominated by probe capacitance (10 pF) and breadboard stray capacitance (3 pF to 5 pF).</w:t>
      </w:r>
    </w:p>
    <w:p>
      <w:pPr/>
      <w:r>
        <w:t xml:space="preserve">    • Input Bias Current Characterization: DC operating point measurements revealed an input bias current of IB ≈ 28 nA flowing out of the non-inverting terminal toward ground, consistent with the internal PNP bipolar input stage. When driven by typical low-impedance sources (Rs &lt; 1 kΩ), this bias current produces a negligible DC offset voltage of ΔVOS = IB · Rs &lt; 28 μV. However, when driven by high source resistances (e.g., Rs = 100 kΩ), this current produces a 2.8 mV DC offset, highlighting the necessity of matching source resistances at both inputs in precision DC instrumentation.</w:t>
      </w:r>
    </w:p>
    <w:p>
      <w:pPr/>
      <w:r>
        <w:t>3. Comparative Synthesis: The fundamental performance differences between inverting and non-inverting configurations are summarized in Table 2, providing a clear engineering reference for configuration selection.</w:t>
      </w:r>
    </w:p>
    <w:p>
      <w:pPr>
        <w:pStyle w:val="Kuvateksti"/>
      </w:pPr>
      <w:r>
        <w:t>Table 2. Comparative synthesis of input impedance, source loading, and operational characteristics between inverting and non-inverting LM358 amplifier topologies.</w:t>
      </w:r>
    </w:p>
    <w:tbl>
      <w:tblPr>
        <w:tblW w:type="auto" w:w="0"/>
        <w:jc w:val="center"/>
        <w:tblLook w:firstColumn="1" w:firstRow="1" w:lastColumn="0" w:lastRow="0" w:noHBand="0" w:noVBand="1" w:val="04A0"/>
        <w:tblBorders>
          <w:top w:val="single" w:sz="6" w:space="0" w:color="B0B0B0"/>
          <w:bottom w:val="single" w:sz="6" w:space="0" w:color="B0B0B0"/>
          <w:insideH w:val="single" w:sz="4" w:space="0" w:color="B0B0B0"/>
          <w:insideV w:val="none"/>
          <w:left w:val="none"/>
          <w:right w:val="none"/>
        </w:tblBorders>
      </w:tblPr>
      <w:tblGrid>
        <w:gridCol w:w="1949"/>
        <w:gridCol w:w="1949"/>
        <w:gridCol w:w="1949"/>
        <w:gridCol w:w="1949"/>
        <w:gridCol w:w="1949"/>
      </w:tblGrid>
      <w:tr>
        <w:tc>
          <w:tcPr>
            <w:tcW w:type="dxa" w:w="1949"/>
            <w:shd w:fill="EAECEE"/>
            <w:tcMar>
              <w:top w:w="80" w:type="dxa"/>
              <w:bottom w:w="80" w:type="dxa"/>
              <w:left w:w="100" w:type="dxa"/>
              <w:right w:w="100" w:type="dxa"/>
            </w:tcMar>
          </w:tcPr>
          <w:p>
            <w:pPr>
              <w:jc w:val="center"/>
            </w:pPr>
            <w:r>
              <w:rPr>
                <w:b/>
                <w:sz w:val="17"/>
              </w:rPr>
              <w:t>Performance Parameter</w:t>
            </w:r>
          </w:p>
        </w:tc>
        <w:tc>
          <w:tcPr>
            <w:tcW w:type="dxa" w:w="1949"/>
            <w:shd w:fill="EAECEE"/>
            <w:tcMar>
              <w:top w:w="80" w:type="dxa"/>
              <w:bottom w:w="80" w:type="dxa"/>
              <w:left w:w="100" w:type="dxa"/>
              <w:right w:w="100" w:type="dxa"/>
            </w:tcMar>
          </w:tcPr>
          <w:p>
            <w:pPr>
              <w:jc w:val="center"/>
            </w:pPr>
            <w:r>
              <w:rPr>
                <w:b/>
                <w:sz w:val="17"/>
              </w:rPr>
              <w:t>Inverting Amplifier (Av = -1, -100)</w:t>
            </w:r>
          </w:p>
        </w:tc>
        <w:tc>
          <w:tcPr>
            <w:tcW w:type="dxa" w:w="1949"/>
            <w:shd w:fill="EAECEE"/>
            <w:tcMar>
              <w:top w:w="80" w:type="dxa"/>
              <w:bottom w:w="80" w:type="dxa"/>
              <w:left w:w="100" w:type="dxa"/>
              <w:right w:w="100" w:type="dxa"/>
            </w:tcMar>
          </w:tcPr>
          <w:p>
            <w:pPr>
              <w:jc w:val="center"/>
            </w:pPr>
            <w:r>
              <w:rPr>
                <w:b/>
                <w:sz w:val="17"/>
              </w:rPr>
              <w:t>Non-Inverting Amplifier (Av = 1, 101)</w:t>
            </w:r>
          </w:p>
        </w:tc>
        <w:tc>
          <w:tcPr>
            <w:tcW w:type="dxa" w:w="1949"/>
            <w:shd w:fill="EAECEE"/>
            <w:tcMar>
              <w:top w:w="80" w:type="dxa"/>
              <w:bottom w:w="80" w:type="dxa"/>
              <w:left w:w="100" w:type="dxa"/>
              <w:right w:w="100" w:type="dxa"/>
            </w:tcMar>
          </w:tcPr>
          <w:p>
            <w:pPr>
              <w:jc w:val="center"/>
            </w:pPr>
            <w:r>
              <w:rPr>
                <w:b/>
                <w:sz w:val="17"/>
              </w:rPr>
              <w:t>Physical Operating Mechanism</w:t>
            </w:r>
          </w:p>
        </w:tc>
        <w:tc>
          <w:tcPr>
            <w:tcW w:type="dxa" w:w="1949"/>
            <w:shd w:fill="EAECEE"/>
            <w:tcMar>
              <w:top w:w="80" w:type="dxa"/>
              <w:bottom w:w="80" w:type="dxa"/>
              <w:left w:w="100" w:type="dxa"/>
              <w:right w:w="100" w:type="dxa"/>
            </w:tcMar>
          </w:tcPr>
          <w:p>
            <w:pPr>
              <w:jc w:val="center"/>
            </w:pPr>
            <w:r>
              <w:rPr>
                <w:b/>
                <w:sz w:val="17"/>
              </w:rPr>
              <w:t>Design &amp; Application Trade-off</w:t>
            </w:r>
          </w:p>
        </w:tc>
      </w:tr>
      <w:tr>
        <w:tc>
          <w:tcPr>
            <w:tcW w:type="dxa" w:w="1949"/>
            <w:shd w:fill="FFFFFF"/>
            <w:tcMar>
              <w:top w:w="60" w:type="dxa"/>
              <w:bottom w:w="60" w:type="dxa"/>
              <w:left w:w="100" w:type="dxa"/>
              <w:right w:w="100" w:type="dxa"/>
            </w:tcMar>
          </w:tcPr>
          <w:p>
            <w:pPr>
              <w:jc w:val="center"/>
            </w:pPr>
            <w:r>
              <w:rPr>
                <w:sz w:val="16"/>
              </w:rPr>
              <w:t>Nominal Input Impedance (Zin)</w:t>
            </w:r>
          </w:p>
        </w:tc>
        <w:tc>
          <w:tcPr>
            <w:tcW w:type="dxa" w:w="1949"/>
            <w:shd w:fill="FFFFFF"/>
            <w:tcMar>
              <w:top w:w="60" w:type="dxa"/>
              <w:bottom w:w="60" w:type="dxa"/>
              <w:left w:w="100" w:type="dxa"/>
              <w:right w:w="100" w:type="dxa"/>
            </w:tcMar>
          </w:tcPr>
          <w:p>
            <w:pPr>
              <w:jc w:val="left"/>
            </w:pPr>
            <w:r>
              <w:rPr>
                <w:sz w:val="16"/>
              </w:rPr>
              <w:t>Zin ≈ Ri = 1.0 kΩ (fixed)</w:t>
            </w:r>
          </w:p>
        </w:tc>
        <w:tc>
          <w:tcPr>
            <w:tcW w:type="dxa" w:w="1949"/>
            <w:shd w:fill="FFFFFF"/>
            <w:tcMar>
              <w:top w:w="60" w:type="dxa"/>
              <w:bottom w:w="60" w:type="dxa"/>
              <w:left w:w="100" w:type="dxa"/>
              <w:right w:w="100" w:type="dxa"/>
            </w:tcMar>
          </w:tcPr>
          <w:p>
            <w:pPr>
              <w:jc w:val="left"/>
            </w:pPr>
            <w:r>
              <w:rPr>
                <w:sz w:val="16"/>
              </w:rPr>
              <w:t>Zin &gt; 20 MΩ (DC/audio); &gt; 1 GΩ (sim)</w:t>
            </w:r>
          </w:p>
        </w:tc>
        <w:tc>
          <w:tcPr>
            <w:tcW w:type="dxa" w:w="1949"/>
            <w:shd w:fill="FFFFFF"/>
            <w:tcMar>
              <w:top w:w="60" w:type="dxa"/>
              <w:bottom w:w="60" w:type="dxa"/>
              <w:left w:w="100" w:type="dxa"/>
              <w:right w:w="100" w:type="dxa"/>
            </w:tcMar>
          </w:tcPr>
          <w:p>
            <w:pPr>
              <w:jc w:val="left"/>
            </w:pPr>
            <w:r>
              <w:rPr>
                <w:sz w:val="16"/>
              </w:rPr>
              <w:t>Virtual ground (inverting) vs PNP base bootstrapping (non-inv)</w:t>
            </w:r>
          </w:p>
        </w:tc>
        <w:tc>
          <w:tcPr>
            <w:tcW w:type="dxa" w:w="1949"/>
            <w:shd w:fill="FFFFFF"/>
            <w:tcMar>
              <w:top w:w="60" w:type="dxa"/>
              <w:bottom w:w="60" w:type="dxa"/>
              <w:left w:w="100" w:type="dxa"/>
              <w:right w:w="100" w:type="dxa"/>
            </w:tcMar>
          </w:tcPr>
          <w:p>
            <w:pPr>
              <w:jc w:val="left"/>
            </w:pPr>
            <w:r>
              <w:rPr>
                <w:sz w:val="16"/>
              </w:rPr>
              <w:t>Inverting severely loads source; Non-inverting buffers source</w:t>
            </w:r>
          </w:p>
        </w:tc>
      </w:tr>
      <w:tr>
        <w:tc>
          <w:tcPr>
            <w:tcW w:type="dxa" w:w="1949"/>
            <w:shd w:fill="F9F9F9"/>
            <w:tcMar>
              <w:top w:w="60" w:type="dxa"/>
              <w:bottom w:w="60" w:type="dxa"/>
              <w:left w:w="100" w:type="dxa"/>
              <w:right w:w="100" w:type="dxa"/>
            </w:tcMar>
          </w:tcPr>
          <w:p>
            <w:pPr>
              <w:jc w:val="center"/>
            </w:pPr>
            <w:r>
              <w:rPr>
                <w:sz w:val="16"/>
              </w:rPr>
              <w:t>Frequency Dependence</w:t>
            </w:r>
          </w:p>
        </w:tc>
        <w:tc>
          <w:tcPr>
            <w:tcW w:type="dxa" w:w="1949"/>
            <w:shd w:fill="F9F9F9"/>
            <w:tcMar>
              <w:top w:w="60" w:type="dxa"/>
              <w:bottom w:w="60" w:type="dxa"/>
              <w:left w:w="100" w:type="dxa"/>
              <w:right w:w="100" w:type="dxa"/>
            </w:tcMar>
          </w:tcPr>
          <w:p>
            <w:pPr>
              <w:jc w:val="left"/>
            </w:pPr>
            <w:r>
              <w:rPr>
                <w:sz w:val="16"/>
              </w:rPr>
              <w:t>Constant Zin across passband; slight variation &gt; 1 MHz</w:t>
            </w:r>
          </w:p>
        </w:tc>
        <w:tc>
          <w:tcPr>
            <w:tcW w:type="dxa" w:w="1949"/>
            <w:shd w:fill="F9F9F9"/>
            <w:tcMar>
              <w:top w:w="60" w:type="dxa"/>
              <w:bottom w:w="60" w:type="dxa"/>
              <w:left w:w="100" w:type="dxa"/>
              <w:right w:w="100" w:type="dxa"/>
            </w:tcMar>
          </w:tcPr>
          <w:p>
            <w:pPr>
              <w:jc w:val="left"/>
            </w:pPr>
            <w:r>
              <w:rPr>
                <w:sz w:val="16"/>
              </w:rPr>
              <w:t>Zin rolls off at -20 dB/dec above ~50 kHz due to Cin ≈ 2.2 pF</w:t>
            </w:r>
          </w:p>
        </w:tc>
        <w:tc>
          <w:tcPr>
            <w:tcW w:type="dxa" w:w="1949"/>
            <w:shd w:fill="F9F9F9"/>
            <w:tcMar>
              <w:top w:w="60" w:type="dxa"/>
              <w:bottom w:w="60" w:type="dxa"/>
              <w:left w:w="100" w:type="dxa"/>
              <w:right w:w="100" w:type="dxa"/>
            </w:tcMar>
          </w:tcPr>
          <w:p>
            <w:pPr>
              <w:jc w:val="left"/>
            </w:pPr>
            <w:r>
              <w:rPr>
                <w:sz w:val="16"/>
              </w:rPr>
              <w:t>Resistor dominated vs reactive shunting of common-mode capacitance</w:t>
            </w:r>
          </w:p>
        </w:tc>
        <w:tc>
          <w:tcPr>
            <w:tcW w:type="dxa" w:w="1949"/>
            <w:shd w:fill="F9F9F9"/>
            <w:tcMar>
              <w:top w:w="60" w:type="dxa"/>
              <w:bottom w:w="60" w:type="dxa"/>
              <w:left w:w="100" w:type="dxa"/>
              <w:right w:w="100" w:type="dxa"/>
            </w:tcMar>
          </w:tcPr>
          <w:p>
            <w:pPr>
              <w:jc w:val="left"/>
            </w:pPr>
            <w:r>
              <w:rPr>
                <w:sz w:val="16"/>
              </w:rPr>
              <w:t>Non-inverting input impedance degrades at RF frequencies</w:t>
            </w:r>
          </w:p>
        </w:tc>
      </w:tr>
      <w:tr>
        <w:tc>
          <w:tcPr>
            <w:tcW w:type="dxa" w:w="1949"/>
            <w:shd w:fill="FFFFFF"/>
            <w:tcMar>
              <w:top w:w="60" w:type="dxa"/>
              <w:bottom w:w="60" w:type="dxa"/>
              <w:left w:w="100" w:type="dxa"/>
              <w:right w:w="100" w:type="dxa"/>
            </w:tcMar>
          </w:tcPr>
          <w:p>
            <w:pPr>
              <w:jc w:val="center"/>
            </w:pPr>
            <w:r>
              <w:rPr>
                <w:sz w:val="16"/>
              </w:rPr>
              <w:t>Source Resistance Loading</w:t>
            </w:r>
          </w:p>
        </w:tc>
        <w:tc>
          <w:tcPr>
            <w:tcW w:type="dxa" w:w="1949"/>
            <w:shd w:fill="FFFFFF"/>
            <w:tcMar>
              <w:top w:w="60" w:type="dxa"/>
              <w:bottom w:w="60" w:type="dxa"/>
              <w:left w:w="100" w:type="dxa"/>
              <w:right w:w="100" w:type="dxa"/>
            </w:tcMar>
          </w:tcPr>
          <w:p>
            <w:pPr>
              <w:jc w:val="left"/>
            </w:pPr>
            <w:r>
              <w:rPr>
                <w:sz w:val="16"/>
              </w:rPr>
              <w:t>High: Vin is divided by Ri / (Rs + Ri)</w:t>
            </w:r>
          </w:p>
        </w:tc>
        <w:tc>
          <w:tcPr>
            <w:tcW w:type="dxa" w:w="1949"/>
            <w:shd w:fill="FFFFFF"/>
            <w:tcMar>
              <w:top w:w="60" w:type="dxa"/>
              <w:bottom w:w="60" w:type="dxa"/>
              <w:left w:w="100" w:type="dxa"/>
              <w:right w:w="100" w:type="dxa"/>
            </w:tcMar>
          </w:tcPr>
          <w:p>
            <w:pPr>
              <w:jc w:val="left"/>
            </w:pPr>
            <w:r>
              <w:rPr>
                <w:sz w:val="16"/>
              </w:rPr>
              <w:t>Negligible: Vin ≈ Vsource for Rs &lt;&lt; 10 MΩ</w:t>
            </w:r>
          </w:p>
        </w:tc>
        <w:tc>
          <w:tcPr>
            <w:tcW w:type="dxa" w:w="1949"/>
            <w:shd w:fill="FFFFFF"/>
            <w:tcMar>
              <w:top w:w="60" w:type="dxa"/>
              <w:bottom w:w="60" w:type="dxa"/>
              <w:left w:w="100" w:type="dxa"/>
              <w:right w:w="100" w:type="dxa"/>
            </w:tcMar>
          </w:tcPr>
          <w:p>
            <w:pPr>
              <w:jc w:val="left"/>
            </w:pPr>
            <w:r>
              <w:rPr>
                <w:sz w:val="16"/>
              </w:rPr>
              <w:t>Input current flows through Ri vs micro-current into PNP base</w:t>
            </w:r>
          </w:p>
        </w:tc>
        <w:tc>
          <w:tcPr>
            <w:tcW w:type="dxa" w:w="1949"/>
            <w:shd w:fill="FFFFFF"/>
            <w:tcMar>
              <w:top w:w="60" w:type="dxa"/>
              <w:bottom w:w="60" w:type="dxa"/>
              <w:left w:w="100" w:type="dxa"/>
              <w:right w:w="100" w:type="dxa"/>
            </w:tcMar>
          </w:tcPr>
          <w:p>
            <w:pPr>
              <w:jc w:val="left"/>
            </w:pPr>
            <w:r>
              <w:rPr>
                <w:sz w:val="16"/>
              </w:rPr>
              <w:t>High-impedance sensors require non-inverting or JFET buffer</w:t>
            </w:r>
          </w:p>
        </w:tc>
      </w:tr>
      <w:tr>
        <w:tc>
          <w:tcPr>
            <w:tcW w:type="dxa" w:w="1949"/>
            <w:shd w:fill="F9F9F9"/>
            <w:tcMar>
              <w:top w:w="60" w:type="dxa"/>
              <w:bottom w:w="60" w:type="dxa"/>
              <w:left w:w="100" w:type="dxa"/>
              <w:right w:w="100" w:type="dxa"/>
            </w:tcMar>
          </w:tcPr>
          <w:p>
            <w:pPr>
              <w:jc w:val="center"/>
            </w:pPr>
            <w:r>
              <w:rPr>
                <w:sz w:val="16"/>
              </w:rPr>
              <w:t>Common-Mode Voltage</w:t>
            </w:r>
          </w:p>
        </w:tc>
        <w:tc>
          <w:tcPr>
            <w:tcW w:type="dxa" w:w="1949"/>
            <w:shd w:fill="F9F9F9"/>
            <w:tcMar>
              <w:top w:w="60" w:type="dxa"/>
              <w:bottom w:w="60" w:type="dxa"/>
              <w:left w:w="100" w:type="dxa"/>
              <w:right w:w="100" w:type="dxa"/>
            </w:tcMar>
          </w:tcPr>
          <w:p>
            <w:pPr>
              <w:jc w:val="left"/>
            </w:pPr>
            <w:r>
              <w:rPr>
                <w:sz w:val="16"/>
              </w:rPr>
              <w:t>Vcm ≈ 0 V (eliminates CM distortion)</w:t>
            </w:r>
          </w:p>
        </w:tc>
        <w:tc>
          <w:tcPr>
            <w:tcW w:type="dxa" w:w="1949"/>
            <w:shd w:fill="F9F9F9"/>
            <w:tcMar>
              <w:top w:w="60" w:type="dxa"/>
              <w:bottom w:w="60" w:type="dxa"/>
              <w:left w:w="100" w:type="dxa"/>
              <w:right w:w="100" w:type="dxa"/>
            </w:tcMar>
          </w:tcPr>
          <w:p>
            <w:pPr>
              <w:jc w:val="left"/>
            </w:pPr>
            <w:r>
              <w:rPr>
                <w:sz w:val="16"/>
              </w:rPr>
              <w:t>Vcm = Vin (tracks input signal)</w:t>
            </w:r>
          </w:p>
        </w:tc>
        <w:tc>
          <w:tcPr>
            <w:tcW w:type="dxa" w:w="1949"/>
            <w:shd w:fill="F9F9F9"/>
            <w:tcMar>
              <w:top w:w="60" w:type="dxa"/>
              <w:bottom w:w="60" w:type="dxa"/>
              <w:left w:w="100" w:type="dxa"/>
              <w:right w:w="100" w:type="dxa"/>
            </w:tcMar>
          </w:tcPr>
          <w:p>
            <w:pPr>
              <w:jc w:val="left"/>
            </w:pPr>
            <w:r>
              <w:rPr>
                <w:sz w:val="16"/>
              </w:rPr>
              <w:t>Summing node held at virtual ground vs common-mode swinging</w:t>
            </w:r>
          </w:p>
        </w:tc>
        <w:tc>
          <w:tcPr>
            <w:tcW w:type="dxa" w:w="1949"/>
            <w:shd w:fill="F9F9F9"/>
            <w:tcMar>
              <w:top w:w="60" w:type="dxa"/>
              <w:bottom w:w="60" w:type="dxa"/>
              <w:left w:w="100" w:type="dxa"/>
              <w:right w:w="100" w:type="dxa"/>
            </w:tcMar>
          </w:tcPr>
          <w:p>
            <w:pPr>
              <w:jc w:val="left"/>
            </w:pPr>
            <w:r>
              <w:rPr>
                <w:sz w:val="16"/>
              </w:rPr>
              <w:t>Inverting configuration provides superior CMRR linearity</w:t>
            </w:r>
          </w:p>
        </w:tc>
      </w:tr>
      <w:tr>
        <w:tc>
          <w:tcPr>
            <w:tcW w:type="dxa" w:w="1949"/>
            <w:shd w:fill="FFFFFF"/>
            <w:tcMar>
              <w:top w:w="60" w:type="dxa"/>
              <w:bottom w:w="60" w:type="dxa"/>
              <w:left w:w="100" w:type="dxa"/>
              <w:right w:w="100" w:type="dxa"/>
            </w:tcMar>
          </w:tcPr>
          <w:p>
            <w:pPr>
              <w:jc w:val="center"/>
            </w:pPr>
            <w:r>
              <w:rPr>
                <w:sz w:val="16"/>
              </w:rPr>
              <w:t>DC Offset Sensitivity</w:t>
            </w:r>
          </w:p>
        </w:tc>
        <w:tc>
          <w:tcPr>
            <w:tcW w:type="dxa" w:w="1949"/>
            <w:shd w:fill="FFFFFF"/>
            <w:tcMar>
              <w:top w:w="60" w:type="dxa"/>
              <w:bottom w:w="60" w:type="dxa"/>
              <w:left w:w="100" w:type="dxa"/>
              <w:right w:w="100" w:type="dxa"/>
            </w:tcMar>
          </w:tcPr>
          <w:p>
            <w:pPr>
              <w:jc w:val="left"/>
            </w:pPr>
            <w:r>
              <w:rPr>
                <w:sz w:val="16"/>
              </w:rPr>
              <w:t>Offset induced by IB flowing through Ro</w:t>
            </w:r>
          </w:p>
        </w:tc>
        <w:tc>
          <w:tcPr>
            <w:tcW w:type="dxa" w:w="1949"/>
            <w:shd w:fill="FFFFFF"/>
            <w:tcMar>
              <w:top w:w="60" w:type="dxa"/>
              <w:bottom w:w="60" w:type="dxa"/>
              <w:left w:w="100" w:type="dxa"/>
              <w:right w:w="100" w:type="dxa"/>
            </w:tcMar>
          </w:tcPr>
          <w:p>
            <w:pPr>
              <w:jc w:val="left"/>
            </w:pPr>
            <w:r>
              <w:rPr>
                <w:sz w:val="16"/>
              </w:rPr>
              <w:t>Offset induced by IB flowing through Rs</w:t>
            </w:r>
          </w:p>
        </w:tc>
        <w:tc>
          <w:tcPr>
            <w:tcW w:type="dxa" w:w="1949"/>
            <w:shd w:fill="FFFFFF"/>
            <w:tcMar>
              <w:top w:w="60" w:type="dxa"/>
              <w:bottom w:w="60" w:type="dxa"/>
              <w:left w:w="100" w:type="dxa"/>
              <w:right w:w="100" w:type="dxa"/>
            </w:tcMar>
          </w:tcPr>
          <w:p>
            <w:pPr>
              <w:jc w:val="left"/>
            </w:pPr>
            <w:r>
              <w:rPr>
                <w:sz w:val="16"/>
              </w:rPr>
              <w:t>Internal PNP Darlington base current (IB ≈ 28 nA)</w:t>
            </w:r>
          </w:p>
        </w:tc>
        <w:tc>
          <w:tcPr>
            <w:tcW w:type="dxa" w:w="1949"/>
            <w:shd w:fill="FFFFFF"/>
            <w:tcMar>
              <w:top w:w="60" w:type="dxa"/>
              <w:bottom w:w="60" w:type="dxa"/>
              <w:left w:w="100" w:type="dxa"/>
              <w:right w:w="100" w:type="dxa"/>
            </w:tcMar>
          </w:tcPr>
          <w:p>
            <w:pPr>
              <w:jc w:val="left"/>
            </w:pPr>
            <w:r>
              <w:rPr>
                <w:sz w:val="16"/>
              </w:rPr>
              <w:t>Add compensation resistor Rcomp = Ri || Ro to balance bias drops</w:t>
            </w:r>
          </w:p>
        </w:tc>
      </w:tr>
    </w:tbl>
    <w:p>
      <w:pPr/>
    </w:p>
    <w:p w14:paraId="6B37864A" w14:textId="620E17ED" w:rsidR="009B7C42" w:rsidRPr="00946425" w:rsidRDefault="006B5C0D" w:rsidP="005D1E26">
      <w:pPr>
        <w:pStyle w:val="Heading1"/>
      </w:pPr>
      <w:r>
        <w:rPr>
          <w:noProof/>
        </w:rPr>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24"/>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25"/>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26"/>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27"/>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28"/>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29"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30"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31"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32"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33"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Pr="00D7233E" w:rsidRDefault="00821271" w:rsidP="00821271">
      <w:pPr>
        <w:rPr>
          <w:lang w:val="en-US"/>
        </w:rPr>
      </w:pPr>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34" w:history="1">
        <w:r w:rsidR="00D7233E" w:rsidRPr="00D7233E">
          <w:rPr>
            <w:rStyle w:val="Hyperlink"/>
            <w:lang w:val="en-US"/>
          </w:rPr>
          <w:t>https://www.ti.com/lit/an/sboa092b/sboa092b.pdf</w:t>
        </w:r>
      </w:hyperlink>
    </w:p>
    <w:p w14:paraId="744D181E" w14:textId="77777777" w:rsidR="00D7233E" w:rsidRPr="00821271" w:rsidRDefault="00D7233E" w:rsidP="00821271">
      <w:pPr>
        <w:rPr>
          <w:lang w:val="en-US"/>
        </w:rPr>
      </w:pPr>
    </w:p>
    <w:p w14:paraId="6C51695F" w14:textId="0C46C7E4" w:rsidR="00DE33B2" w:rsidRPr="003C5E21" w:rsidRDefault="00190D35" w:rsidP="00DE33B2">
      <w:pPr>
        <w:suppressAutoHyphens/>
        <w:rPr>
          <w:lang w:val="en-US"/>
        </w:rPr>
      </w:pPr>
      <w:r w:rsidRPr="00190D35">
        <w:rPr>
          <w:lang w:val="en-US"/>
        </w:rPr>
        <w:t xml:space="preserve">The references are </w:t>
      </w:r>
      <w:r w:rsidR="00DE33B2">
        <w:rPr>
          <w:lang w:val="en-US"/>
        </w:rPr>
        <w:t xml:space="preserve">listed </w:t>
      </w:r>
      <w:r>
        <w:rPr>
          <w:lang w:val="en-US"/>
        </w:rPr>
        <w:t>in the end of the report. The bibliography</w:t>
      </w:r>
      <w:r w:rsidR="00DE33B2">
        <w:rPr>
          <w:lang w:val="en-US"/>
        </w:rPr>
        <w:t xml:space="preserve"> </w:t>
      </w:r>
      <w:r>
        <w:rPr>
          <w:lang w:val="en-US"/>
        </w:rPr>
        <w:t>tells the sources of information on the study. There are a few examples below, which have been compiled in Harvard style. Every</w:t>
      </w:r>
      <w:r w:rsidR="00DE33B2">
        <w:rPr>
          <w:lang w:val="en-US"/>
        </w:rPr>
        <w:t xml:space="preserve"> </w:t>
      </w:r>
      <w:r>
        <w:rPr>
          <w:lang w:val="en-US"/>
        </w:rPr>
        <w:t>piece of work, text, interview, web page or other source of information used in the study that is referenced in the report is written in the bibliography</w:t>
      </w:r>
      <w:r w:rsidR="00DE33B2">
        <w:rPr>
          <w:lang w:val="en-US"/>
        </w:rPr>
        <w:t xml:space="preserve">. The references are sorted in alphabetical order. Instructions for referencing: </w:t>
      </w:r>
      <w:hyperlink r:id="rId35" w:history="1">
        <w:r w:rsidRPr="00DE33B2">
          <w:rPr>
            <w:rStyle w:val="Hyperlink"/>
            <w:lang w:val="en-US"/>
          </w:rPr>
          <w:t>https://libguides.aalto.fi/c.php?g=410674&amp;p=2797572</w:t>
        </w:r>
      </w:hyperlink>
    </w:p>
    <w:p w14:paraId="141D6FEA" w14:textId="77777777" w:rsidR="00DE33B2" w:rsidRPr="003C5E21" w:rsidRDefault="00DE33B2" w:rsidP="00DE33B2">
      <w:pPr>
        <w:suppressAutoHyphens/>
        <w:rPr>
          <w:lang w:val="en-US"/>
        </w:rPr>
      </w:pPr>
    </w:p>
    <w:p w14:paraId="53235B67" w14:textId="6D3D187E" w:rsidR="0032351F" w:rsidRPr="00946425" w:rsidRDefault="00860F09" w:rsidP="00860F09">
      <w:pPr>
        <w:spacing w:line="240" w:lineRule="auto"/>
        <w:rPr>
          <w:szCs w:val="24"/>
          <w:lang w:val="en-US"/>
        </w:rPr>
      </w:pPr>
      <w:r w:rsidRPr="00946425">
        <w:rPr>
          <w:szCs w:val="24"/>
          <w:lang w:val="en-US"/>
        </w:rPr>
        <w:t xml:space="preserve">Alred, G. J., Brusaw, C. T. &amp; </w:t>
      </w:r>
      <w:proofErr w:type="spellStart"/>
      <w:r w:rsidRPr="00946425">
        <w:rPr>
          <w:szCs w:val="24"/>
          <w:lang w:val="en-US"/>
        </w:rPr>
        <w:t>Oliu</w:t>
      </w:r>
      <w:proofErr w:type="spellEnd"/>
      <w:r w:rsidRPr="00946425">
        <w:rPr>
          <w:szCs w:val="24"/>
          <w:lang w:val="en-US"/>
        </w:rPr>
        <w:t>, W. E. 2006. Handbook of Technical Writing. Eighth Edition. New York: St. Martin’s Press.</w:t>
      </w:r>
    </w:p>
    <w:p w14:paraId="3BE36010" w14:textId="4D9626C0" w:rsidR="006C4995" w:rsidRPr="00E11A1E" w:rsidRDefault="00860F09" w:rsidP="006C03CF">
      <w:pPr>
        <w:spacing w:line="240" w:lineRule="auto"/>
        <w:rPr>
          <w:color w:val="0000FF"/>
          <w:szCs w:val="24"/>
          <w:u w:val="single"/>
          <w:lang w:val="en-US"/>
        </w:rPr>
      </w:pPr>
      <w:proofErr w:type="spellStart"/>
      <w:r w:rsidRPr="00946425">
        <w:rPr>
          <w:szCs w:val="24"/>
          <w:lang w:val="sv-SE"/>
        </w:rPr>
        <w:t>Barnbaum</w:t>
      </w:r>
      <w:proofErr w:type="spellEnd"/>
      <w:r w:rsidRPr="00946425">
        <w:rPr>
          <w:szCs w:val="24"/>
          <w:lang w:val="sv-SE"/>
        </w:rPr>
        <w:t xml:space="preserve">, C. </w:t>
      </w:r>
      <w:proofErr w:type="spellStart"/>
      <w:r w:rsidRPr="00946425">
        <w:rPr>
          <w:szCs w:val="24"/>
          <w:lang w:val="sv-SE"/>
        </w:rPr>
        <w:t>n.d</w:t>
      </w:r>
      <w:proofErr w:type="spellEnd"/>
      <w:r w:rsidRPr="00946425">
        <w:rPr>
          <w:szCs w:val="24"/>
          <w:lang w:val="sv-SE"/>
        </w:rPr>
        <w:t xml:space="preserve">. </w:t>
      </w:r>
      <w:proofErr w:type="spellStart"/>
      <w:r w:rsidRPr="00946425">
        <w:rPr>
          <w:szCs w:val="24"/>
          <w:lang w:val="sv-SE"/>
        </w:rPr>
        <w:t>Plagiarism</w:t>
      </w:r>
      <w:proofErr w:type="spellEnd"/>
      <w:r w:rsidRPr="00946425">
        <w:rPr>
          <w:szCs w:val="24"/>
          <w:lang w:val="sv-SE"/>
        </w:rPr>
        <w:t xml:space="preserve">. </w:t>
      </w:r>
      <w:r w:rsidRPr="00946425">
        <w:rPr>
          <w:szCs w:val="24"/>
          <w:lang w:val="en-US"/>
        </w:rPr>
        <w:t xml:space="preserve">A Student’s Guide </w:t>
      </w:r>
      <w:proofErr w:type="gramStart"/>
      <w:r w:rsidRPr="00946425">
        <w:rPr>
          <w:szCs w:val="24"/>
          <w:lang w:val="en-US"/>
        </w:rPr>
        <w:t>To</w:t>
      </w:r>
      <w:proofErr w:type="gramEnd"/>
      <w:r w:rsidRPr="00946425">
        <w:rPr>
          <w:szCs w:val="24"/>
          <w:lang w:val="en-US"/>
        </w:rPr>
        <w:t xml:space="preserve"> Recognizing It and Avoiding It. </w:t>
      </w:r>
      <w:r w:rsidRPr="00E11A1E">
        <w:rPr>
          <w:szCs w:val="24"/>
          <w:lang w:val="en-US"/>
        </w:rPr>
        <w:t>[</w:t>
      </w:r>
      <w:r w:rsidR="00E11A1E">
        <w:rPr>
          <w:szCs w:val="24"/>
          <w:lang w:val="en-US"/>
        </w:rPr>
        <w:t>online document</w:t>
      </w:r>
      <w:r w:rsidRPr="00E11A1E">
        <w:rPr>
          <w:szCs w:val="24"/>
          <w:lang w:val="en-US"/>
        </w:rPr>
        <w:t>]. [</w:t>
      </w:r>
      <w:r w:rsidR="00E11A1E" w:rsidRPr="00E11A1E">
        <w:rPr>
          <w:szCs w:val="24"/>
          <w:lang w:val="en-US"/>
        </w:rPr>
        <w:t>referenced</w:t>
      </w:r>
      <w:r w:rsidRPr="00E11A1E">
        <w:rPr>
          <w:szCs w:val="24"/>
          <w:lang w:val="en-US"/>
        </w:rPr>
        <w:t xml:space="preserve"> </w:t>
      </w:r>
      <w:r w:rsidR="00452002" w:rsidRPr="00E11A1E">
        <w:rPr>
          <w:szCs w:val="24"/>
          <w:lang w:val="en-US"/>
        </w:rPr>
        <w:t>25.9.</w:t>
      </w:r>
      <w:r w:rsidRPr="00E11A1E">
        <w:rPr>
          <w:szCs w:val="24"/>
          <w:lang w:val="en-US"/>
        </w:rPr>
        <w:t>20</w:t>
      </w:r>
      <w:r w:rsidR="00452002" w:rsidRPr="00E11A1E">
        <w:rPr>
          <w:szCs w:val="24"/>
          <w:lang w:val="en-US"/>
        </w:rPr>
        <w:t>14</w:t>
      </w:r>
      <w:r w:rsidRPr="00E11A1E">
        <w:rPr>
          <w:szCs w:val="24"/>
          <w:lang w:val="en-US"/>
        </w:rPr>
        <w:t xml:space="preserve">]. </w:t>
      </w:r>
      <w:r w:rsidR="00E11A1E" w:rsidRPr="00E11A1E">
        <w:rPr>
          <w:szCs w:val="24"/>
          <w:lang w:val="en-US"/>
        </w:rPr>
        <w:t>Available</w:t>
      </w:r>
      <w:r w:rsidRPr="00E11A1E">
        <w:rPr>
          <w:szCs w:val="24"/>
          <w:lang w:val="en-US"/>
        </w:rPr>
        <w:t xml:space="preserve"> </w:t>
      </w:r>
      <w:r w:rsidR="00FF493D" w:rsidRPr="00E11A1E">
        <w:rPr>
          <w:szCs w:val="24"/>
          <w:lang w:val="en-US"/>
        </w:rPr>
        <w:tab/>
      </w:r>
      <w:r w:rsidR="00FF493D" w:rsidRPr="00E11A1E">
        <w:rPr>
          <w:szCs w:val="24"/>
          <w:lang w:val="en-US"/>
        </w:rPr>
        <w:br/>
      </w:r>
      <w:hyperlink r:id="rId36" w:history="1">
        <w:r w:rsidRPr="00E11A1E">
          <w:rPr>
            <w:rStyle w:val="Hyperlink"/>
            <w:szCs w:val="24"/>
            <w:lang w:val="en-US"/>
          </w:rPr>
          <w:t>http://www.valdosta.edu/~cbarnbau/personal/teaching_MISC/plagiarism.htm</w:t>
        </w:r>
      </w:hyperlink>
    </w:p>
    <w:p w14:paraId="0BD51408" w14:textId="6A971B79" w:rsidR="00022EFD" w:rsidRDefault="00814BC3" w:rsidP="00814BC3">
      <w:pPr>
        <w:rPr>
          <w:lang w:val="en-US"/>
        </w:rPr>
      </w:pPr>
      <w:r w:rsidRPr="004F275F">
        <w:rPr>
          <w:lang w:val="en-US"/>
        </w:rPr>
        <w:t xml:space="preserve">Patnaik, </w:t>
      </w:r>
      <w:r w:rsidR="000C5651" w:rsidRPr="004F275F">
        <w:rPr>
          <w:lang w:val="en-US"/>
        </w:rPr>
        <w:t>L</w:t>
      </w:r>
      <w:r w:rsidR="00EF4AE8" w:rsidRPr="004F275F">
        <w:rPr>
          <w:lang w:val="en-US"/>
        </w:rPr>
        <w:t>., Praneet</w:t>
      </w:r>
      <w:r w:rsidR="004F275F" w:rsidRPr="004F275F">
        <w:rPr>
          <w:lang w:val="en-US"/>
        </w:rPr>
        <w:t>h</w:t>
      </w:r>
      <w:r w:rsidR="004F275F">
        <w:rPr>
          <w:lang w:val="en-US"/>
        </w:rPr>
        <w:t>,</w:t>
      </w:r>
      <w:r w:rsidR="004F275F" w:rsidRPr="004F275F">
        <w:rPr>
          <w:lang w:val="en-US"/>
        </w:rPr>
        <w:t xml:space="preserve"> A. V. J</w:t>
      </w:r>
      <w:r w:rsidR="004F275F">
        <w:rPr>
          <w:lang w:val="en-US"/>
        </w:rPr>
        <w:t xml:space="preserve">. S. &amp; Williamson, S.S. “A Closed-Loop Constant-Temperature </w:t>
      </w:r>
      <w:r w:rsidR="00E35F3D">
        <w:rPr>
          <w:lang w:val="en-US"/>
        </w:rPr>
        <w:t>Constant-Voltage Charging Technique to Reduce Charge Time of Lithium</w:t>
      </w:r>
      <w:r w:rsidR="00AA598F">
        <w:rPr>
          <w:lang w:val="en-US"/>
        </w:rPr>
        <w:t xml:space="preserve">-Ion Batteries”. IEEE Transactions on Industrial Electronics, vol. 66, no. 2, ss. </w:t>
      </w:r>
      <w:r w:rsidR="00F57DF7">
        <w:rPr>
          <w:lang w:val="en-US"/>
        </w:rPr>
        <w:t>1059-1067</w:t>
      </w:r>
      <w:r w:rsidR="009450E3">
        <w:rPr>
          <w:lang w:val="en-US"/>
        </w:rPr>
        <w:t xml:space="preserve">. 2019. </w:t>
      </w:r>
      <w:proofErr w:type="spellStart"/>
      <w:r w:rsidR="00962665">
        <w:rPr>
          <w:lang w:val="en-US"/>
        </w:rPr>
        <w:t>doi</w:t>
      </w:r>
      <w:proofErr w:type="spellEnd"/>
      <w:r w:rsidR="00962665">
        <w:rPr>
          <w:lang w:val="en-US"/>
        </w:rPr>
        <w:t xml:space="preserve">: </w:t>
      </w:r>
      <w:r w:rsidR="00962665" w:rsidRPr="00962665">
        <w:rPr>
          <w:lang w:val="en-US"/>
        </w:rPr>
        <w:t>10.1109/TIE.2018.2833038.</w:t>
      </w:r>
    </w:p>
    <w:p w14:paraId="56BC72E5" w14:textId="1F3A4898" w:rsidR="009A2C04" w:rsidRPr="00474BEF" w:rsidRDefault="009A2C04" w:rsidP="009A2C04">
      <w:pPr>
        <w:spacing w:line="240" w:lineRule="auto"/>
        <w:rPr>
          <w:szCs w:val="24"/>
          <w:lang w:val="en-GB"/>
        </w:rPr>
      </w:pPr>
      <w:r w:rsidRPr="00474BEF">
        <w:rPr>
          <w:szCs w:val="24"/>
          <w:lang w:val="en-GB"/>
        </w:rPr>
        <w:t>Sedra, A. S., &amp; Smith, K</w:t>
      </w:r>
      <w:r>
        <w:rPr>
          <w:szCs w:val="24"/>
          <w:lang w:val="en-GB"/>
        </w:rPr>
        <w:t>. C. 2010</w:t>
      </w:r>
      <w:r w:rsidRPr="00474BEF">
        <w:rPr>
          <w:szCs w:val="24"/>
          <w:lang w:val="en-GB"/>
        </w:rPr>
        <w:t>. M</w:t>
      </w:r>
      <w:r>
        <w:rPr>
          <w:szCs w:val="24"/>
          <w:lang w:val="en-GB"/>
        </w:rPr>
        <w:t xml:space="preserve">icroelectronic circuits, 6. </w:t>
      </w:r>
      <w:r w:rsidR="00E11A1E">
        <w:rPr>
          <w:szCs w:val="24"/>
          <w:lang w:val="en-GB"/>
        </w:rPr>
        <w:t>edition</w:t>
      </w:r>
      <w:r w:rsidRPr="00474BEF">
        <w:rPr>
          <w:szCs w:val="24"/>
          <w:lang w:val="en-GB"/>
        </w:rPr>
        <w:t>. New York: Oxford University Press.</w:t>
      </w:r>
    </w:p>
    <w:p w14:paraId="5E1B5572" w14:textId="44809A87" w:rsidR="00F73A36" w:rsidRPr="00E11A1E" w:rsidRDefault="00F73A36" w:rsidP="00814BC3">
      <w:pPr>
        <w:rPr>
          <w:lang w:val="en-US"/>
        </w:rPr>
      </w:pPr>
      <w:r w:rsidRPr="00F73A36">
        <w:t>Tupamäki, Ol</w:t>
      </w:r>
      <w:r>
        <w:t>avi</w:t>
      </w:r>
      <w:r w:rsidRPr="00F73A36">
        <w:t>, “Sähköautojen kotilataus tulee”</w:t>
      </w:r>
      <w:r>
        <w:t xml:space="preserve">. </w:t>
      </w:r>
      <w:proofErr w:type="spellStart"/>
      <w:r w:rsidRPr="003C5E21">
        <w:rPr>
          <w:lang w:val="en-US"/>
        </w:rPr>
        <w:t>Energiatyhmyrit-blogi</w:t>
      </w:r>
      <w:proofErr w:type="spellEnd"/>
      <w:r w:rsidRPr="003C5E21">
        <w:rPr>
          <w:lang w:val="en-US"/>
        </w:rPr>
        <w:t xml:space="preserve">. </w:t>
      </w:r>
      <w:r w:rsidRPr="00E11A1E">
        <w:rPr>
          <w:lang w:val="en-US"/>
        </w:rPr>
        <w:t>[</w:t>
      </w:r>
      <w:r w:rsidR="00E11A1E" w:rsidRPr="00E11A1E">
        <w:rPr>
          <w:lang w:val="en-US"/>
        </w:rPr>
        <w:t>online document</w:t>
      </w:r>
      <w:r w:rsidRPr="00E11A1E">
        <w:rPr>
          <w:lang w:val="en-US"/>
        </w:rPr>
        <w:t xml:space="preserve">]. </w:t>
      </w:r>
      <w:r w:rsidR="00352CE9" w:rsidRPr="00E11A1E">
        <w:rPr>
          <w:lang w:val="en-US"/>
        </w:rPr>
        <w:t>[</w:t>
      </w:r>
      <w:r w:rsidR="00E11A1E" w:rsidRPr="00E11A1E">
        <w:rPr>
          <w:lang w:val="en-US"/>
        </w:rPr>
        <w:t>referenced</w:t>
      </w:r>
      <w:r w:rsidRPr="00E11A1E">
        <w:rPr>
          <w:lang w:val="en-US"/>
        </w:rPr>
        <w:t xml:space="preserve"> 17.11.2020</w:t>
      </w:r>
      <w:r w:rsidR="00352CE9" w:rsidRPr="00E11A1E">
        <w:rPr>
          <w:lang w:val="en-US"/>
        </w:rPr>
        <w:t>]</w:t>
      </w:r>
      <w:r w:rsidRPr="00E11A1E">
        <w:rPr>
          <w:lang w:val="en-US"/>
        </w:rPr>
        <w:t xml:space="preserve">. </w:t>
      </w:r>
      <w:r w:rsidR="00E11A1E" w:rsidRPr="00E11A1E">
        <w:rPr>
          <w:lang w:val="en-US"/>
        </w:rPr>
        <w:t>Available</w:t>
      </w:r>
      <w:r w:rsidRPr="00E11A1E">
        <w:rPr>
          <w:lang w:val="en-US"/>
        </w:rPr>
        <w:t xml:space="preserve"> </w:t>
      </w:r>
      <w:hyperlink r:id="rId37" w:history="1">
        <w:r w:rsidRPr="00E11A1E">
          <w:rPr>
            <w:rStyle w:val="Hyperlink"/>
            <w:lang w:val="en-US"/>
          </w:rPr>
          <w:t>http://energiatyhmyrit.real.fi/2018/02/sahkoautojen-kotilataus-tulee.html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38"/>
      <w:footerReference w:type="default" r:id="rId39"/>
      <w:headerReference w:type="first" r:id="rId40"/>
      <w:footerReference w:type="first" r:id="rId41"/>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A7D454" w14:textId="77777777" w:rsidR="00413E8A" w:rsidRDefault="00413E8A">
      <w:pPr>
        <w:spacing w:line="240" w:lineRule="auto"/>
      </w:pPr>
      <w:r>
        <w:separator/>
      </w:r>
    </w:p>
  </w:endnote>
  <w:endnote w:type="continuationSeparator" w:id="0">
    <w:p w14:paraId="032DFC2B" w14:textId="77777777" w:rsidR="00413E8A" w:rsidRDefault="00413E8A">
      <w:pPr>
        <w:spacing w:line="240" w:lineRule="auto"/>
      </w:pPr>
      <w:r>
        <w:continuationSeparator/>
      </w:r>
    </w:p>
  </w:endnote>
  <w:endnote w:type="continuationNotice" w:id="1">
    <w:p w14:paraId="4116C1D2" w14:textId="77777777" w:rsidR="00413E8A" w:rsidRDefault="00413E8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jc w:val="left"/>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jc w:val="left"/>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514C21" w14:textId="77777777" w:rsidR="00413E8A" w:rsidRDefault="00413E8A">
      <w:pPr>
        <w:spacing w:line="240" w:lineRule="auto"/>
      </w:pPr>
      <w:r>
        <w:separator/>
      </w:r>
    </w:p>
  </w:footnote>
  <w:footnote w:type="continuationSeparator" w:id="0">
    <w:p w14:paraId="3B16E3BE" w14:textId="77777777" w:rsidR="00413E8A" w:rsidRDefault="00413E8A">
      <w:pPr>
        <w:spacing w:line="240" w:lineRule="auto"/>
      </w:pPr>
      <w:r>
        <w:continuationSeparator/>
      </w:r>
    </w:p>
  </w:footnote>
  <w:footnote w:type="continuationNotice" w:id="1">
    <w:p w14:paraId="403CF3DE" w14:textId="77777777" w:rsidR="00413E8A" w:rsidRDefault="00413E8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jc w:val="left"/>
          </w:pPr>
        </w:p>
      </w:tc>
      <w:tc>
        <w:tcPr>
          <w:tcW w:w="3245" w:type="dxa"/>
        </w:tcPr>
        <w:p w14:paraId="28CD1253" w14:textId="6CAE7A5A" w:rsidR="00F849BF" w:rsidRDefault="00F849BF" w:rsidP="006E64FB">
          <w:pPr>
            <w:pStyle w:val="Header"/>
            <w:jc w:val="center"/>
          </w:pPr>
        </w:p>
      </w:tc>
      <w:tc>
        <w:tcPr>
          <w:tcW w:w="3245" w:type="dxa"/>
        </w:tcPr>
        <w:p w14:paraId="03C9BDE2" w14:textId="687D8088"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997BCF">
            <w:rPr>
              <w:rFonts w:ascii="Arial" w:eastAsia="Arial" w:hAnsi="Arial" w:cs="Arial"/>
              <w:noProof/>
              <w:sz w:val="20"/>
            </w:rPr>
            <w:t>21.10.2026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118E5"/>
    <w:rsid w:val="00011A4E"/>
    <w:rsid w:val="00012320"/>
    <w:rsid w:val="0001267F"/>
    <w:rsid w:val="00014884"/>
    <w:rsid w:val="000149E6"/>
    <w:rsid w:val="00014FE7"/>
    <w:rsid w:val="000168BA"/>
    <w:rsid w:val="0001CC0A"/>
    <w:rsid w:val="000205D9"/>
    <w:rsid w:val="00020CF6"/>
    <w:rsid w:val="00021ED8"/>
    <w:rsid w:val="00022EFD"/>
    <w:rsid w:val="00030696"/>
    <w:rsid w:val="00030775"/>
    <w:rsid w:val="00031180"/>
    <w:rsid w:val="00031410"/>
    <w:rsid w:val="000314A7"/>
    <w:rsid w:val="00031E65"/>
    <w:rsid w:val="00032D6B"/>
    <w:rsid w:val="000339FE"/>
    <w:rsid w:val="0003488E"/>
    <w:rsid w:val="000353E6"/>
    <w:rsid w:val="000364DD"/>
    <w:rsid w:val="00037BB9"/>
    <w:rsid w:val="00040936"/>
    <w:rsid w:val="00042664"/>
    <w:rsid w:val="00042B64"/>
    <w:rsid w:val="00042B6D"/>
    <w:rsid w:val="000448A5"/>
    <w:rsid w:val="0004507D"/>
    <w:rsid w:val="00046937"/>
    <w:rsid w:val="000504C3"/>
    <w:rsid w:val="00050638"/>
    <w:rsid w:val="00051626"/>
    <w:rsid w:val="00051C74"/>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805BB"/>
    <w:rsid w:val="00080A3E"/>
    <w:rsid w:val="00081D4F"/>
    <w:rsid w:val="00082D86"/>
    <w:rsid w:val="0008331B"/>
    <w:rsid w:val="000846BC"/>
    <w:rsid w:val="000850B4"/>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7564"/>
    <w:rsid w:val="000E053D"/>
    <w:rsid w:val="000E1A83"/>
    <w:rsid w:val="000E32C1"/>
    <w:rsid w:val="000E3A8E"/>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3607"/>
    <w:rsid w:val="00153A1D"/>
    <w:rsid w:val="00154D08"/>
    <w:rsid w:val="00156142"/>
    <w:rsid w:val="00156187"/>
    <w:rsid w:val="00160751"/>
    <w:rsid w:val="00160CA5"/>
    <w:rsid w:val="001612B9"/>
    <w:rsid w:val="00164595"/>
    <w:rsid w:val="00165704"/>
    <w:rsid w:val="00165CD8"/>
    <w:rsid w:val="001711D9"/>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324B"/>
    <w:rsid w:val="001941ED"/>
    <w:rsid w:val="0019436C"/>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AB4"/>
    <w:rsid w:val="00237AC3"/>
    <w:rsid w:val="00240857"/>
    <w:rsid w:val="00240CAA"/>
    <w:rsid w:val="002417D2"/>
    <w:rsid w:val="002425E4"/>
    <w:rsid w:val="0024353B"/>
    <w:rsid w:val="002439A7"/>
    <w:rsid w:val="002451E0"/>
    <w:rsid w:val="002459EB"/>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D1686"/>
    <w:rsid w:val="002D2638"/>
    <w:rsid w:val="002D32AE"/>
    <w:rsid w:val="002D36B6"/>
    <w:rsid w:val="002D46F5"/>
    <w:rsid w:val="002E1ACE"/>
    <w:rsid w:val="002E1BFB"/>
    <w:rsid w:val="002E3AB2"/>
    <w:rsid w:val="002E5566"/>
    <w:rsid w:val="002E65AF"/>
    <w:rsid w:val="002E6995"/>
    <w:rsid w:val="002E6C12"/>
    <w:rsid w:val="002F0650"/>
    <w:rsid w:val="002F1065"/>
    <w:rsid w:val="002F1CFE"/>
    <w:rsid w:val="002F769C"/>
    <w:rsid w:val="002F7942"/>
    <w:rsid w:val="00300347"/>
    <w:rsid w:val="00300B86"/>
    <w:rsid w:val="00301A02"/>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E89"/>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E6A"/>
    <w:rsid w:val="00396084"/>
    <w:rsid w:val="0039615F"/>
    <w:rsid w:val="003965DD"/>
    <w:rsid w:val="003A0A64"/>
    <w:rsid w:val="003A2139"/>
    <w:rsid w:val="003A3B04"/>
    <w:rsid w:val="003A6222"/>
    <w:rsid w:val="003A689D"/>
    <w:rsid w:val="003B00BA"/>
    <w:rsid w:val="003B071E"/>
    <w:rsid w:val="003B0B30"/>
    <w:rsid w:val="003B2D3E"/>
    <w:rsid w:val="003B2EB5"/>
    <w:rsid w:val="003B39EA"/>
    <w:rsid w:val="003B3B66"/>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6F1"/>
    <w:rsid w:val="003D7DCD"/>
    <w:rsid w:val="003E01BA"/>
    <w:rsid w:val="003E192C"/>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DDE"/>
    <w:rsid w:val="00406C4A"/>
    <w:rsid w:val="0041087C"/>
    <w:rsid w:val="0041139E"/>
    <w:rsid w:val="0041200D"/>
    <w:rsid w:val="00413E8A"/>
    <w:rsid w:val="00414065"/>
    <w:rsid w:val="0041410F"/>
    <w:rsid w:val="0041584F"/>
    <w:rsid w:val="00417EC2"/>
    <w:rsid w:val="00421917"/>
    <w:rsid w:val="00422312"/>
    <w:rsid w:val="004231C4"/>
    <w:rsid w:val="00424D37"/>
    <w:rsid w:val="00427A32"/>
    <w:rsid w:val="0043188B"/>
    <w:rsid w:val="004335DE"/>
    <w:rsid w:val="0043364F"/>
    <w:rsid w:val="00434495"/>
    <w:rsid w:val="00434C31"/>
    <w:rsid w:val="0043691E"/>
    <w:rsid w:val="00436BD7"/>
    <w:rsid w:val="00437B92"/>
    <w:rsid w:val="00442142"/>
    <w:rsid w:val="0044479F"/>
    <w:rsid w:val="00444E94"/>
    <w:rsid w:val="00451608"/>
    <w:rsid w:val="00452002"/>
    <w:rsid w:val="004531D2"/>
    <w:rsid w:val="00453A81"/>
    <w:rsid w:val="00455194"/>
    <w:rsid w:val="0045691F"/>
    <w:rsid w:val="00457671"/>
    <w:rsid w:val="00457DAA"/>
    <w:rsid w:val="0046117A"/>
    <w:rsid w:val="00462711"/>
    <w:rsid w:val="004641EC"/>
    <w:rsid w:val="00465B6A"/>
    <w:rsid w:val="0046733F"/>
    <w:rsid w:val="004717BF"/>
    <w:rsid w:val="0047187F"/>
    <w:rsid w:val="00471F84"/>
    <w:rsid w:val="00472D04"/>
    <w:rsid w:val="00472E43"/>
    <w:rsid w:val="0047352F"/>
    <w:rsid w:val="00473EAA"/>
    <w:rsid w:val="004741EA"/>
    <w:rsid w:val="00474BEF"/>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22B1"/>
    <w:rsid w:val="004B2654"/>
    <w:rsid w:val="004B28CF"/>
    <w:rsid w:val="004B2F3A"/>
    <w:rsid w:val="004B492A"/>
    <w:rsid w:val="004B4E20"/>
    <w:rsid w:val="004B5FF7"/>
    <w:rsid w:val="004B6A4C"/>
    <w:rsid w:val="004C0B51"/>
    <w:rsid w:val="004C3390"/>
    <w:rsid w:val="004C6045"/>
    <w:rsid w:val="004D183B"/>
    <w:rsid w:val="004D1AD9"/>
    <w:rsid w:val="004D1DBE"/>
    <w:rsid w:val="004D3523"/>
    <w:rsid w:val="004D3656"/>
    <w:rsid w:val="004D561F"/>
    <w:rsid w:val="004D5B24"/>
    <w:rsid w:val="004E6B4B"/>
    <w:rsid w:val="004E756C"/>
    <w:rsid w:val="004F04C8"/>
    <w:rsid w:val="004F04F7"/>
    <w:rsid w:val="004F1C43"/>
    <w:rsid w:val="004F275F"/>
    <w:rsid w:val="004F3AF0"/>
    <w:rsid w:val="004F4C32"/>
    <w:rsid w:val="004F4C99"/>
    <w:rsid w:val="004F5CC6"/>
    <w:rsid w:val="004F6D2F"/>
    <w:rsid w:val="004F7E87"/>
    <w:rsid w:val="00500225"/>
    <w:rsid w:val="00500425"/>
    <w:rsid w:val="0050057A"/>
    <w:rsid w:val="0050248B"/>
    <w:rsid w:val="0050451D"/>
    <w:rsid w:val="005054E0"/>
    <w:rsid w:val="005060C3"/>
    <w:rsid w:val="00507E9B"/>
    <w:rsid w:val="0051035D"/>
    <w:rsid w:val="00510920"/>
    <w:rsid w:val="00510B35"/>
    <w:rsid w:val="00510FE2"/>
    <w:rsid w:val="00512AD0"/>
    <w:rsid w:val="00513876"/>
    <w:rsid w:val="00516512"/>
    <w:rsid w:val="005204CE"/>
    <w:rsid w:val="00521C29"/>
    <w:rsid w:val="00523CDD"/>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30C7"/>
    <w:rsid w:val="00573E44"/>
    <w:rsid w:val="00575239"/>
    <w:rsid w:val="00575779"/>
    <w:rsid w:val="00575794"/>
    <w:rsid w:val="00575CB5"/>
    <w:rsid w:val="0057745F"/>
    <w:rsid w:val="00580D72"/>
    <w:rsid w:val="005815E2"/>
    <w:rsid w:val="00581F1F"/>
    <w:rsid w:val="005851F2"/>
    <w:rsid w:val="0058648A"/>
    <w:rsid w:val="005902C8"/>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70CE"/>
    <w:rsid w:val="005A7646"/>
    <w:rsid w:val="005A7E68"/>
    <w:rsid w:val="005B24F8"/>
    <w:rsid w:val="005B30F9"/>
    <w:rsid w:val="005B3696"/>
    <w:rsid w:val="005B74CD"/>
    <w:rsid w:val="005B78D2"/>
    <w:rsid w:val="005B7C09"/>
    <w:rsid w:val="005C1FFE"/>
    <w:rsid w:val="005C3B64"/>
    <w:rsid w:val="005C5188"/>
    <w:rsid w:val="005C5C5C"/>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40152"/>
    <w:rsid w:val="00641088"/>
    <w:rsid w:val="006420C9"/>
    <w:rsid w:val="0064539F"/>
    <w:rsid w:val="00645BA0"/>
    <w:rsid w:val="00645E53"/>
    <w:rsid w:val="00647AA5"/>
    <w:rsid w:val="00652157"/>
    <w:rsid w:val="00652B3F"/>
    <w:rsid w:val="00652CAF"/>
    <w:rsid w:val="006536E8"/>
    <w:rsid w:val="0065377C"/>
    <w:rsid w:val="00656EE4"/>
    <w:rsid w:val="00657C8E"/>
    <w:rsid w:val="00661CD5"/>
    <w:rsid w:val="00664661"/>
    <w:rsid w:val="006702CF"/>
    <w:rsid w:val="00670320"/>
    <w:rsid w:val="00681F0C"/>
    <w:rsid w:val="00682907"/>
    <w:rsid w:val="00683FD3"/>
    <w:rsid w:val="006845DC"/>
    <w:rsid w:val="0068502D"/>
    <w:rsid w:val="00686334"/>
    <w:rsid w:val="0069083F"/>
    <w:rsid w:val="00694458"/>
    <w:rsid w:val="00694740"/>
    <w:rsid w:val="006960BA"/>
    <w:rsid w:val="00696237"/>
    <w:rsid w:val="006A02D2"/>
    <w:rsid w:val="006A1095"/>
    <w:rsid w:val="006A160A"/>
    <w:rsid w:val="006A238B"/>
    <w:rsid w:val="006A25C7"/>
    <w:rsid w:val="006A521B"/>
    <w:rsid w:val="006A5AE5"/>
    <w:rsid w:val="006A5DDF"/>
    <w:rsid w:val="006B0457"/>
    <w:rsid w:val="006B051E"/>
    <w:rsid w:val="006B2BC6"/>
    <w:rsid w:val="006B382C"/>
    <w:rsid w:val="006B38F4"/>
    <w:rsid w:val="006B3E00"/>
    <w:rsid w:val="006B5AF0"/>
    <w:rsid w:val="006B5C0D"/>
    <w:rsid w:val="006B5C97"/>
    <w:rsid w:val="006B6E1D"/>
    <w:rsid w:val="006C03CF"/>
    <w:rsid w:val="006C057A"/>
    <w:rsid w:val="006C0E97"/>
    <w:rsid w:val="006C20F2"/>
    <w:rsid w:val="006C2BAD"/>
    <w:rsid w:val="006C415F"/>
    <w:rsid w:val="006C4995"/>
    <w:rsid w:val="006C7D61"/>
    <w:rsid w:val="006D020F"/>
    <w:rsid w:val="006D1E8C"/>
    <w:rsid w:val="006D2648"/>
    <w:rsid w:val="006D64EB"/>
    <w:rsid w:val="006D6931"/>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6DD0"/>
    <w:rsid w:val="00736F7F"/>
    <w:rsid w:val="00741773"/>
    <w:rsid w:val="0074261A"/>
    <w:rsid w:val="00743B64"/>
    <w:rsid w:val="007453C2"/>
    <w:rsid w:val="00745B56"/>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80CED"/>
    <w:rsid w:val="0078354D"/>
    <w:rsid w:val="00783EEE"/>
    <w:rsid w:val="00784FEE"/>
    <w:rsid w:val="00786F75"/>
    <w:rsid w:val="007876D7"/>
    <w:rsid w:val="00787D43"/>
    <w:rsid w:val="007907E3"/>
    <w:rsid w:val="00791154"/>
    <w:rsid w:val="0079255A"/>
    <w:rsid w:val="00793236"/>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590A"/>
    <w:rsid w:val="007B6784"/>
    <w:rsid w:val="007B7044"/>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1AF"/>
    <w:rsid w:val="008054A2"/>
    <w:rsid w:val="00807ED3"/>
    <w:rsid w:val="00814BC3"/>
    <w:rsid w:val="00814D63"/>
    <w:rsid w:val="008151CD"/>
    <w:rsid w:val="008162E4"/>
    <w:rsid w:val="008167F0"/>
    <w:rsid w:val="00816B2E"/>
    <w:rsid w:val="008179D4"/>
    <w:rsid w:val="00817ADC"/>
    <w:rsid w:val="00821271"/>
    <w:rsid w:val="00821495"/>
    <w:rsid w:val="008224B2"/>
    <w:rsid w:val="00823212"/>
    <w:rsid w:val="008240B5"/>
    <w:rsid w:val="00824EE6"/>
    <w:rsid w:val="00825D3C"/>
    <w:rsid w:val="0082711D"/>
    <w:rsid w:val="00830FAA"/>
    <w:rsid w:val="00832173"/>
    <w:rsid w:val="00832B75"/>
    <w:rsid w:val="00834267"/>
    <w:rsid w:val="00834A06"/>
    <w:rsid w:val="00841C8E"/>
    <w:rsid w:val="008447ED"/>
    <w:rsid w:val="00845076"/>
    <w:rsid w:val="0084591B"/>
    <w:rsid w:val="00846A5F"/>
    <w:rsid w:val="00846BD6"/>
    <w:rsid w:val="00846FAF"/>
    <w:rsid w:val="00850FB6"/>
    <w:rsid w:val="00851452"/>
    <w:rsid w:val="00853DE0"/>
    <w:rsid w:val="00854B9C"/>
    <w:rsid w:val="00855F31"/>
    <w:rsid w:val="0085600F"/>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26C6"/>
    <w:rsid w:val="008B4958"/>
    <w:rsid w:val="008B4AF5"/>
    <w:rsid w:val="008B5B35"/>
    <w:rsid w:val="008B6768"/>
    <w:rsid w:val="008C4CBF"/>
    <w:rsid w:val="008C6A2A"/>
    <w:rsid w:val="008C75BB"/>
    <w:rsid w:val="008C7CAC"/>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14482"/>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33AA"/>
    <w:rsid w:val="00944820"/>
    <w:rsid w:val="009450E3"/>
    <w:rsid w:val="0094526A"/>
    <w:rsid w:val="0094586A"/>
    <w:rsid w:val="00946425"/>
    <w:rsid w:val="00950225"/>
    <w:rsid w:val="00951198"/>
    <w:rsid w:val="00951482"/>
    <w:rsid w:val="00952A3D"/>
    <w:rsid w:val="00953BCC"/>
    <w:rsid w:val="009555F0"/>
    <w:rsid w:val="00957765"/>
    <w:rsid w:val="00960A9A"/>
    <w:rsid w:val="00962665"/>
    <w:rsid w:val="00963518"/>
    <w:rsid w:val="00963D50"/>
    <w:rsid w:val="009654D1"/>
    <w:rsid w:val="00966614"/>
    <w:rsid w:val="0096666B"/>
    <w:rsid w:val="00966A5B"/>
    <w:rsid w:val="009700BB"/>
    <w:rsid w:val="00970892"/>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6B14"/>
    <w:rsid w:val="00997BCF"/>
    <w:rsid w:val="009A0917"/>
    <w:rsid w:val="009A116D"/>
    <w:rsid w:val="009A2C04"/>
    <w:rsid w:val="009A33A6"/>
    <w:rsid w:val="009A376E"/>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6532"/>
    <w:rsid w:val="00A37705"/>
    <w:rsid w:val="00A40CB1"/>
    <w:rsid w:val="00A41AE3"/>
    <w:rsid w:val="00A42109"/>
    <w:rsid w:val="00A42353"/>
    <w:rsid w:val="00A4271C"/>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250C"/>
    <w:rsid w:val="00A727FB"/>
    <w:rsid w:val="00A7313E"/>
    <w:rsid w:val="00A73F03"/>
    <w:rsid w:val="00A74F84"/>
    <w:rsid w:val="00A77128"/>
    <w:rsid w:val="00A80D10"/>
    <w:rsid w:val="00A81EAA"/>
    <w:rsid w:val="00A82D5C"/>
    <w:rsid w:val="00A8554A"/>
    <w:rsid w:val="00A86D14"/>
    <w:rsid w:val="00A8781B"/>
    <w:rsid w:val="00A87E84"/>
    <w:rsid w:val="00A92527"/>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C4"/>
    <w:rsid w:val="00B00CEA"/>
    <w:rsid w:val="00B018D9"/>
    <w:rsid w:val="00B02ABF"/>
    <w:rsid w:val="00B0340C"/>
    <w:rsid w:val="00B03A76"/>
    <w:rsid w:val="00B10372"/>
    <w:rsid w:val="00B105A0"/>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4605"/>
    <w:rsid w:val="00B55946"/>
    <w:rsid w:val="00B56E6D"/>
    <w:rsid w:val="00B5719D"/>
    <w:rsid w:val="00B5789B"/>
    <w:rsid w:val="00B60F7B"/>
    <w:rsid w:val="00B61CC7"/>
    <w:rsid w:val="00B621D9"/>
    <w:rsid w:val="00B6372F"/>
    <w:rsid w:val="00B637DD"/>
    <w:rsid w:val="00B72620"/>
    <w:rsid w:val="00B7280E"/>
    <w:rsid w:val="00B73C63"/>
    <w:rsid w:val="00B745B5"/>
    <w:rsid w:val="00B75D48"/>
    <w:rsid w:val="00B766D2"/>
    <w:rsid w:val="00B76BDB"/>
    <w:rsid w:val="00B80E87"/>
    <w:rsid w:val="00B81CC0"/>
    <w:rsid w:val="00B86674"/>
    <w:rsid w:val="00B913A5"/>
    <w:rsid w:val="00B922DD"/>
    <w:rsid w:val="00B93962"/>
    <w:rsid w:val="00BA2D7B"/>
    <w:rsid w:val="00BA3216"/>
    <w:rsid w:val="00BA5B61"/>
    <w:rsid w:val="00BA7851"/>
    <w:rsid w:val="00BB0E7A"/>
    <w:rsid w:val="00BB1785"/>
    <w:rsid w:val="00BB1AF0"/>
    <w:rsid w:val="00BB25EF"/>
    <w:rsid w:val="00BB26CA"/>
    <w:rsid w:val="00BB4278"/>
    <w:rsid w:val="00BB5B2A"/>
    <w:rsid w:val="00BB5B36"/>
    <w:rsid w:val="00BC01EA"/>
    <w:rsid w:val="00BC1226"/>
    <w:rsid w:val="00BC1760"/>
    <w:rsid w:val="00BC1BE3"/>
    <w:rsid w:val="00BC2B19"/>
    <w:rsid w:val="00BC2CF6"/>
    <w:rsid w:val="00BC446C"/>
    <w:rsid w:val="00BC4B7B"/>
    <w:rsid w:val="00BC6540"/>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602D5"/>
    <w:rsid w:val="00C60644"/>
    <w:rsid w:val="00C60B97"/>
    <w:rsid w:val="00C60DFF"/>
    <w:rsid w:val="00C62CD3"/>
    <w:rsid w:val="00C65708"/>
    <w:rsid w:val="00C65F62"/>
    <w:rsid w:val="00C671F4"/>
    <w:rsid w:val="00C7043D"/>
    <w:rsid w:val="00C759C2"/>
    <w:rsid w:val="00C80404"/>
    <w:rsid w:val="00C816B6"/>
    <w:rsid w:val="00C82447"/>
    <w:rsid w:val="00C8255C"/>
    <w:rsid w:val="00C8355E"/>
    <w:rsid w:val="00C83E42"/>
    <w:rsid w:val="00C84C27"/>
    <w:rsid w:val="00C866AF"/>
    <w:rsid w:val="00C86A90"/>
    <w:rsid w:val="00C87618"/>
    <w:rsid w:val="00C91A9C"/>
    <w:rsid w:val="00C92E69"/>
    <w:rsid w:val="00C95FAC"/>
    <w:rsid w:val="00C9E9A9"/>
    <w:rsid w:val="00CA0EB9"/>
    <w:rsid w:val="00CA185C"/>
    <w:rsid w:val="00CA2584"/>
    <w:rsid w:val="00CA7D03"/>
    <w:rsid w:val="00CB16A1"/>
    <w:rsid w:val="00CB4730"/>
    <w:rsid w:val="00CB607C"/>
    <w:rsid w:val="00CB7E57"/>
    <w:rsid w:val="00CB7FC9"/>
    <w:rsid w:val="00CBE704"/>
    <w:rsid w:val="00CC1C2D"/>
    <w:rsid w:val="00CC228D"/>
    <w:rsid w:val="00CC6680"/>
    <w:rsid w:val="00CD09E7"/>
    <w:rsid w:val="00CD17EA"/>
    <w:rsid w:val="00CD5FEB"/>
    <w:rsid w:val="00CD715A"/>
    <w:rsid w:val="00CE0321"/>
    <w:rsid w:val="00CE23EA"/>
    <w:rsid w:val="00CE4C00"/>
    <w:rsid w:val="00CE5130"/>
    <w:rsid w:val="00CE5C1A"/>
    <w:rsid w:val="00CE5C51"/>
    <w:rsid w:val="00CE6AFE"/>
    <w:rsid w:val="00CE6FA0"/>
    <w:rsid w:val="00CF1C2E"/>
    <w:rsid w:val="00CF2CB6"/>
    <w:rsid w:val="00CF3AF3"/>
    <w:rsid w:val="00CF3DED"/>
    <w:rsid w:val="00CF6EE5"/>
    <w:rsid w:val="00CF795C"/>
    <w:rsid w:val="00D01BA8"/>
    <w:rsid w:val="00D01C87"/>
    <w:rsid w:val="00D01E78"/>
    <w:rsid w:val="00D03ABF"/>
    <w:rsid w:val="00D04D8A"/>
    <w:rsid w:val="00D05523"/>
    <w:rsid w:val="00D06660"/>
    <w:rsid w:val="00D11F81"/>
    <w:rsid w:val="00D154CE"/>
    <w:rsid w:val="00D155A8"/>
    <w:rsid w:val="00D16FBA"/>
    <w:rsid w:val="00D177E1"/>
    <w:rsid w:val="00D211B3"/>
    <w:rsid w:val="00D212C0"/>
    <w:rsid w:val="00D21F9F"/>
    <w:rsid w:val="00D23041"/>
    <w:rsid w:val="00D241DD"/>
    <w:rsid w:val="00D24292"/>
    <w:rsid w:val="00D25690"/>
    <w:rsid w:val="00D27D7B"/>
    <w:rsid w:val="00D30693"/>
    <w:rsid w:val="00D32770"/>
    <w:rsid w:val="00D33610"/>
    <w:rsid w:val="00D337C9"/>
    <w:rsid w:val="00D41D75"/>
    <w:rsid w:val="00D43070"/>
    <w:rsid w:val="00D43C11"/>
    <w:rsid w:val="00D442F6"/>
    <w:rsid w:val="00D4436D"/>
    <w:rsid w:val="00D44531"/>
    <w:rsid w:val="00D462FB"/>
    <w:rsid w:val="00D4799E"/>
    <w:rsid w:val="00D47BAC"/>
    <w:rsid w:val="00D5033C"/>
    <w:rsid w:val="00D5073B"/>
    <w:rsid w:val="00D51B2F"/>
    <w:rsid w:val="00D52D95"/>
    <w:rsid w:val="00D5342C"/>
    <w:rsid w:val="00D53B24"/>
    <w:rsid w:val="00D54251"/>
    <w:rsid w:val="00D5465C"/>
    <w:rsid w:val="00D55230"/>
    <w:rsid w:val="00D572C7"/>
    <w:rsid w:val="00D573D2"/>
    <w:rsid w:val="00D6035B"/>
    <w:rsid w:val="00D639BB"/>
    <w:rsid w:val="00D63B5E"/>
    <w:rsid w:val="00D64BB3"/>
    <w:rsid w:val="00D66AAF"/>
    <w:rsid w:val="00D679E7"/>
    <w:rsid w:val="00D70065"/>
    <w:rsid w:val="00D701D0"/>
    <w:rsid w:val="00D70374"/>
    <w:rsid w:val="00D70E44"/>
    <w:rsid w:val="00D7233E"/>
    <w:rsid w:val="00D72B0D"/>
    <w:rsid w:val="00D73CCB"/>
    <w:rsid w:val="00D73F60"/>
    <w:rsid w:val="00D746DA"/>
    <w:rsid w:val="00D74B2E"/>
    <w:rsid w:val="00D76859"/>
    <w:rsid w:val="00D76A39"/>
    <w:rsid w:val="00D82B0F"/>
    <w:rsid w:val="00D856B2"/>
    <w:rsid w:val="00D87E4B"/>
    <w:rsid w:val="00D90890"/>
    <w:rsid w:val="00D91C58"/>
    <w:rsid w:val="00D9382F"/>
    <w:rsid w:val="00D95440"/>
    <w:rsid w:val="00D956F2"/>
    <w:rsid w:val="00D9576E"/>
    <w:rsid w:val="00DA17CA"/>
    <w:rsid w:val="00DA279B"/>
    <w:rsid w:val="00DA3018"/>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CB5"/>
    <w:rsid w:val="00DD3BC6"/>
    <w:rsid w:val="00DD43BE"/>
    <w:rsid w:val="00DD4E78"/>
    <w:rsid w:val="00DD70D0"/>
    <w:rsid w:val="00DD7395"/>
    <w:rsid w:val="00DD76F7"/>
    <w:rsid w:val="00DE08ED"/>
    <w:rsid w:val="00DE33B2"/>
    <w:rsid w:val="00DE67DA"/>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5E0B"/>
    <w:rsid w:val="00EE6C09"/>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9BC"/>
    <w:rsid w:val="00F3307E"/>
    <w:rsid w:val="00F37294"/>
    <w:rsid w:val="00F374C6"/>
    <w:rsid w:val="00F40841"/>
    <w:rsid w:val="00F41211"/>
    <w:rsid w:val="00F41265"/>
    <w:rsid w:val="00F43E9A"/>
    <w:rsid w:val="00F443B4"/>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A38"/>
    <w:rsid w:val="00F630FA"/>
    <w:rsid w:val="00F63EF5"/>
    <w:rsid w:val="00F6521D"/>
    <w:rsid w:val="00F66F68"/>
    <w:rsid w:val="00F7111B"/>
    <w:rsid w:val="00F71524"/>
    <w:rsid w:val="00F732F6"/>
    <w:rsid w:val="00F73A36"/>
    <w:rsid w:val="00F73B0E"/>
    <w:rsid w:val="00F758EC"/>
    <w:rsid w:val="00F759F7"/>
    <w:rsid w:val="00F76D18"/>
    <w:rsid w:val="00F77291"/>
    <w:rsid w:val="00F82281"/>
    <w:rsid w:val="00F849BF"/>
    <w:rsid w:val="00F85813"/>
    <w:rsid w:val="00F860BA"/>
    <w:rsid w:val="00F90D8D"/>
    <w:rsid w:val="00F91061"/>
    <w:rsid w:val="00F9511A"/>
    <w:rsid w:val="00F951D4"/>
    <w:rsid w:val="00F95A9B"/>
    <w:rsid w:val="00F95F5D"/>
    <w:rsid w:val="00F962CE"/>
    <w:rsid w:val="00FA2038"/>
    <w:rsid w:val="00FA2775"/>
    <w:rsid w:val="00FA649E"/>
    <w:rsid w:val="00FA76D9"/>
    <w:rsid w:val="00FB2298"/>
    <w:rsid w:val="00FB2792"/>
    <w:rsid w:val="00FB2C9B"/>
    <w:rsid w:val="00FB4588"/>
    <w:rsid w:val="00FB4EDC"/>
    <w:rsid w:val="00FB52A6"/>
    <w:rsid w:val="00FB5839"/>
    <w:rsid w:val="00FB5D7B"/>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983"/>
    <w:pPr>
      <w:spacing w:after="120" w:line="240" w:lineRule="atLeast"/>
      <w:jc w:val="both"/>
    </w:pPr>
    <w:rPr>
      <w:sz w:val="24"/>
      <w:lang w:val="fi-FI" w:eastAsia="fi-FI"/>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jc w:val="left"/>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jc w:val="left"/>
    </w:pPr>
    <w:rPr>
      <w:i/>
      <w:sz w:val="20"/>
    </w:rPr>
  </w:style>
  <w:style w:type="paragraph" w:styleId="CommentText">
    <w:name w:val="annotation text"/>
    <w:basedOn w:val="Normal"/>
    <w:link w:val="CommentTextChar"/>
    <w:semiHidden/>
    <w:rsid w:val="008862C1"/>
    <w:pPr>
      <w:jc w:val="left"/>
    </w:pPr>
    <w:rPr>
      <w:sz w:val="20"/>
    </w:rPr>
  </w:style>
  <w:style w:type="paragraph" w:styleId="Index1">
    <w:name w:val="index 1"/>
    <w:basedOn w:val="Normal"/>
    <w:next w:val="Normal"/>
    <w:autoRedefine/>
    <w:semiHidden/>
    <w:rsid w:val="008862C1"/>
    <w:pPr>
      <w:spacing w:before="120" w:line="240" w:lineRule="auto"/>
      <w:jc w:val="left"/>
    </w:pPr>
    <w:rPr>
      <w:rFonts w:ascii="Arial" w:hAnsi="Arial" w:cs="Arial"/>
      <w:sz w:val="20"/>
    </w:rPr>
  </w:style>
  <w:style w:type="paragraph" w:styleId="BodyText2">
    <w:name w:val="Body Text 2"/>
    <w:basedOn w:val="Normal"/>
    <w:semiHidden/>
    <w:rsid w:val="008862C1"/>
    <w:pPr>
      <w:spacing w:line="240" w:lineRule="auto"/>
      <w:jc w:val="left"/>
    </w:pPr>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spacing w:after="0"/>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spacing w:after="0"/>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spacing w:line="240" w:lineRule="auto"/>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spacing w:line="240" w:lineRule="auto"/>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pPr>
      <w:spacing w:line="240" w:lineRule="auto"/>
    </w:pPr>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pPr>
      <w:spacing w:line="240" w:lineRule="auto"/>
    </w:pPr>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spacing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3E6AA1"/>
    <w:pPr>
      <w:spacing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pPr>
      <w:spacing w:line="240" w:lineRule="auto"/>
    </w:pPr>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pPr>
      <w:spacing w:line="240" w:lineRule="auto"/>
    </w:pPr>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pPr>
      <w:spacing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spacing w:line="240" w:lineRule="auto"/>
      <w:ind w:left="480" w:hanging="240"/>
    </w:pPr>
  </w:style>
  <w:style w:type="paragraph" w:styleId="Index3">
    <w:name w:val="index 3"/>
    <w:basedOn w:val="Normal"/>
    <w:next w:val="Normal"/>
    <w:autoRedefine/>
    <w:uiPriority w:val="99"/>
    <w:semiHidden/>
    <w:unhideWhenUsed/>
    <w:rsid w:val="003E6AA1"/>
    <w:pPr>
      <w:spacing w:line="240" w:lineRule="auto"/>
      <w:ind w:left="720" w:hanging="240"/>
    </w:pPr>
  </w:style>
  <w:style w:type="paragraph" w:styleId="Index4">
    <w:name w:val="index 4"/>
    <w:basedOn w:val="Normal"/>
    <w:next w:val="Normal"/>
    <w:autoRedefine/>
    <w:uiPriority w:val="99"/>
    <w:semiHidden/>
    <w:unhideWhenUsed/>
    <w:rsid w:val="003E6AA1"/>
    <w:pPr>
      <w:spacing w:line="240" w:lineRule="auto"/>
      <w:ind w:left="960" w:hanging="240"/>
    </w:pPr>
  </w:style>
  <w:style w:type="paragraph" w:styleId="Index5">
    <w:name w:val="index 5"/>
    <w:basedOn w:val="Normal"/>
    <w:next w:val="Normal"/>
    <w:autoRedefine/>
    <w:uiPriority w:val="99"/>
    <w:semiHidden/>
    <w:unhideWhenUsed/>
    <w:rsid w:val="003E6AA1"/>
    <w:pPr>
      <w:spacing w:line="240" w:lineRule="auto"/>
      <w:ind w:left="1200" w:hanging="240"/>
    </w:pPr>
  </w:style>
  <w:style w:type="paragraph" w:styleId="Index6">
    <w:name w:val="index 6"/>
    <w:basedOn w:val="Normal"/>
    <w:next w:val="Normal"/>
    <w:autoRedefine/>
    <w:uiPriority w:val="99"/>
    <w:semiHidden/>
    <w:unhideWhenUsed/>
    <w:rsid w:val="003E6AA1"/>
    <w:pPr>
      <w:spacing w:line="240" w:lineRule="auto"/>
      <w:ind w:left="1440" w:hanging="240"/>
    </w:pPr>
  </w:style>
  <w:style w:type="paragraph" w:styleId="Index7">
    <w:name w:val="index 7"/>
    <w:basedOn w:val="Normal"/>
    <w:next w:val="Normal"/>
    <w:autoRedefine/>
    <w:uiPriority w:val="99"/>
    <w:semiHidden/>
    <w:unhideWhenUsed/>
    <w:rsid w:val="003E6AA1"/>
    <w:pPr>
      <w:spacing w:line="240" w:lineRule="auto"/>
      <w:ind w:left="1680" w:hanging="240"/>
    </w:pPr>
  </w:style>
  <w:style w:type="paragraph" w:styleId="Index8">
    <w:name w:val="index 8"/>
    <w:basedOn w:val="Normal"/>
    <w:next w:val="Normal"/>
    <w:autoRedefine/>
    <w:uiPriority w:val="99"/>
    <w:semiHidden/>
    <w:unhideWhenUsed/>
    <w:rsid w:val="003E6AA1"/>
    <w:pPr>
      <w:spacing w:line="240" w:lineRule="auto"/>
      <w:ind w:left="1920" w:hanging="240"/>
    </w:pPr>
  </w:style>
  <w:style w:type="paragraph" w:styleId="Index9">
    <w:name w:val="index 9"/>
    <w:basedOn w:val="Normal"/>
    <w:next w:val="Normal"/>
    <w:autoRedefine/>
    <w:uiPriority w:val="99"/>
    <w:semiHidden/>
    <w:unhideWhenUsed/>
    <w:rsid w:val="003E6AA1"/>
    <w:pPr>
      <w:spacing w:line="240" w:lineRule="auto"/>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rPr>
      <w:szCs w:val="24"/>
    </w:rPr>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pPr>
      <w:spacing w:line="240" w:lineRule="auto"/>
    </w:pPr>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spacing w:line="240" w:lineRule="auto"/>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spacing w:line="240" w:lineRule="auto"/>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rPr>
      <w:szCs w:val="24"/>
      <w:lang w:val="en-FI"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9" Type="http://schemas.openxmlformats.org/officeDocument/2006/relationships/footer" Target="footer1.xml"/><Relationship Id="rId21" Type="http://schemas.openxmlformats.org/officeDocument/2006/relationships/image" Target="media/image10.emf"/><Relationship Id="rId34" Type="http://schemas.openxmlformats.org/officeDocument/2006/relationships/hyperlink" Target="https://www.ti.com/lit/an/sboa092b/sboa092b.pdf"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emf"/><Relationship Id="rId29" Type="http://schemas.openxmlformats.org/officeDocument/2006/relationships/image" Target="media/image8.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rene-dev/stmbl/blob/master/hw/spice/LM358.lib" TargetMode="External"/><Relationship Id="rId24" Type="http://schemas.openxmlformats.org/officeDocument/2006/relationships/image" Target="media/image13.png"/><Relationship Id="rId32" Type="http://schemas.openxmlformats.org/officeDocument/2006/relationships/image" Target="media/image11.png"/><Relationship Id="rId37" Type="http://schemas.openxmlformats.org/officeDocument/2006/relationships/hyperlink" Target="http://energiatyhmyrit.real.fi/2018/02/sahkoautojen-kotilataus-tulee.html" TargetMode="External"/><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emf"/><Relationship Id="rId28" Type="http://schemas.openxmlformats.org/officeDocument/2006/relationships/image" Target="media/image17.png"/><Relationship Id="rId36" Type="http://schemas.openxmlformats.org/officeDocument/2006/relationships/hyperlink" Target="http://www.valdosta.edu/~cbarnbau/personal/teaching_MISC/plagiarism.htm" TargetMode="External"/><Relationship Id="rId10" Type="http://schemas.openxmlformats.org/officeDocument/2006/relationships/endnotes" Target="endnotes.xml"/><Relationship Id="rId19" Type="http://schemas.openxmlformats.org/officeDocument/2006/relationships/image" Target="media/image8.emf"/><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png"/><Relationship Id="rId30" Type="http://schemas.openxmlformats.org/officeDocument/2006/relationships/image" Target="media/image9.png"/><Relationship Id="rId35" Type="http://schemas.openxmlformats.org/officeDocument/2006/relationships/hyperlink" Target="https://libguides.aalto.fi/c.php?g=410674&amp;p=2797572"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12.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2.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3.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customXml/itemProps4.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1</Pages>
  <Words>2595</Words>
  <Characters>14793</Characters>
  <Application>Microsoft Office Word</Application>
  <DocSecurity>4</DocSecurity>
  <Lines>123</Lines>
  <Paragraphs>34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
      <vt:lpstr/>
    </vt:vector>
  </TitlesOfParts>
  <Manager/>
  <Company>LUT University</Company>
  <LinksUpToDate>false</LinksUpToDate>
  <CharactersWithSpaces>17354</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Faiz Shaikh</cp:lastModifiedBy>
  <cp:revision>636</cp:revision>
  <cp:lastPrinted>2020-11-20T18:03:00Z</cp:lastPrinted>
  <dcterms:created xsi:type="dcterms:W3CDTF">2020-06-23T02:12:00Z</dcterms:created>
  <dcterms:modified xsi:type="dcterms:W3CDTF">2026-10-21T17:16:00Z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