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Included in correspondence: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2700"/>
        <w:gridCol w:w="4305"/>
        <w:tblGridChange w:id="0">
          <w:tblGrid>
            <w:gridCol w:w="2355"/>
            <w:gridCol w:w="2700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Geneva Hanstein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Analyst: Licensing &amp; Regulation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Her interests lie in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banking law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and the evolving challenges of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digital communications regulation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. She focuses on ensuring that financial institutions meet corporate governance and legislative standards.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Iyisha Garises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Analyst: NPS Policy &amp; Data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She specializes in the legal and technical interpretation of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payment systems and virtual asset legislation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. She is a key expert on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modernizing the NPS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to improve efficiency and security in digital payments.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Tuna Brock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PrincipalInnovation Hub Officer (prior COO at IDToday)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She is heavily focused on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youth innovation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and the 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Fintech Youth Program</w:t>
              </w:r>
            </w:hyperlink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. Her interests include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green finance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blockchain technology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, and the development of a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digital Namibian dollar (CBDC)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to drive financial inclusion.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Ndangi Amunyela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Analyst: NPS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His focus is on the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operational safety and oversight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of the National Payment System, ensuring that retail and inter-bank payments remain secure and reliable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Pepua Karamata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Analyst: NPS &amp; Virtual Assets Regulations &amp; Licensing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Like Iyisha, Pepua is focused on the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licensing and regulation of virtual assets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(cryptocurrencies) and ensuring that new payment technologies comply with national standards.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Elizabeth Nuugulu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Practitioner (Trainee)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As a legal trainee within the bank, her interest is in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financial sector litigation</w:t>
            </w: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, legislative drafting, and the broader application of the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Banking Institutions Act</w:t>
              </w:r>
            </w:hyperlink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 and other regulatory frameworks.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Jesaya Hano-Oshike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BaseCamp 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As the founder of a startup incubator, his primary interest is in 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entrepreneurship development</w:t>
            </w: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, supporting early-stage startups, and fostering a local ecosystem for Namibian innovators to scale their businesses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need to understand our audience in order to speak to what matters to them most and to anticipate questions and to prepare for them fully.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Banks Legal Frameworks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a short Presentation , outlining business offering , transactional flows, schematics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a demonstration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Revisit our Ask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ystzwyegwcqo" w:id="0"/>
      <w:bookmarkEnd w:id="0"/>
      <w:r w:rsidDel="00000000" w:rsidR="00000000" w:rsidRPr="00000000">
        <w:rPr>
          <w:rtl w:val="0"/>
        </w:rPr>
        <w:t xml:space="preserve">Presentation Outline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k24odz6khb7u" w:id="1"/>
      <w:bookmarkEnd w:id="1"/>
      <w:r w:rsidDel="00000000" w:rsidR="00000000" w:rsidRPr="00000000">
        <w:rPr>
          <w:rtl w:val="0"/>
        </w:rPr>
        <w:t xml:space="preserve">Cover Slide 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9xqb2di8r8k0" w:id="2"/>
      <w:bookmarkEnd w:id="2"/>
      <w:r w:rsidDel="00000000" w:rsidR="00000000" w:rsidRPr="00000000">
        <w:rPr>
          <w:rtl w:val="0"/>
        </w:rPr>
        <w:t xml:space="preserve">Slide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Ketchup Intro and Expertise (Governance)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mohzuiz4kltu" w:id="3"/>
      <w:bookmarkEnd w:id="3"/>
      <w:r w:rsidDel="00000000" w:rsidR="00000000" w:rsidRPr="00000000">
        <w:rPr>
          <w:rtl w:val="0"/>
        </w:rPr>
        <w:t xml:space="preserve">Slide 2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l233bac9t938" w:id="4"/>
      <w:bookmarkEnd w:id="4"/>
      <w:r w:rsidDel="00000000" w:rsidR="00000000" w:rsidRPr="00000000">
        <w:rPr>
          <w:rtl w:val="0"/>
        </w:rPr>
        <w:t xml:space="preserve">Slide 3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felxytt10hdg" w:id="5"/>
      <w:bookmarkEnd w:id="5"/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4v3tj49gkqpn" w:id="6"/>
      <w:bookmarkEnd w:id="6"/>
      <w:r w:rsidDel="00000000" w:rsidR="00000000" w:rsidRPr="00000000">
        <w:rPr>
          <w:rtl w:val="0"/>
        </w:rPr>
        <w:t xml:space="preserve">Slide 5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6kmnigsq3nvw" w:id="7"/>
      <w:bookmarkEnd w:id="7"/>
      <w:r w:rsidDel="00000000" w:rsidR="00000000" w:rsidRPr="00000000">
        <w:rPr>
          <w:rtl w:val="0"/>
        </w:rPr>
        <w:t xml:space="preserve">Slide 6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tc40m4uue33" w:id="8"/>
      <w:bookmarkEnd w:id="8"/>
      <w:r w:rsidDel="00000000" w:rsidR="00000000" w:rsidRPr="00000000">
        <w:rPr>
          <w:rtl w:val="0"/>
        </w:rPr>
        <w:t xml:space="preserve">Slide 7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ergywater.com.na/2025/11/11/hello-world/" TargetMode="External"/><Relationship Id="rId7" Type="http://schemas.openxmlformats.org/officeDocument/2006/relationships/hyperlink" Target="https://www.bon.com.na/Bank/Banking-Supervision/Legal-Framework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