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color w:val="1A365D"/>
          <w:sz w:val="48"/>
        </w:rPr>
        <w:t>E-Commerce Customer Churn &amp; Sales Analytics with AI</w:t>
      </w:r>
    </w:p>
    <w:p>
      <w:pPr>
        <w:spacing w:after="400"/>
        <w:jc w:val="center"/>
      </w:pPr>
      <w:r>
        <w:rPr>
          <w:rFonts w:ascii="Calibri" w:hAnsi="Calibri"/>
          <w:i/>
          <w:color w:val="2B6CB0"/>
          <w:sz w:val="28"/>
        </w:rPr>
        <w:t>AICTE | IBM SkillsBuild Data Analytics with AI Academic Internship Project Report</w:t>
      </w:r>
    </w:p>
    <w:p>
      <w:pPr>
        <w:spacing w:after="360"/>
        <w:pBdr>
          <w:bottom w:val="single" w:sz="12" w:space="1" w:color="1A365D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7FAFC"/>
          </w:tcPr>
          <w:p>
            <w:pPr>
              <w:spacing w:after="80" w:before="80"/>
            </w:pPr>
            <w:r>
              <w:rPr>
                <w:b/>
                <w:color w:val="1A365D"/>
              </w:rPr>
              <w:t>Student Name:</w:t>
            </w:r>
            <w:r>
              <w:rPr>
                <w:color w:val="2D3748"/>
              </w:rPr>
              <w:t xml:space="preserve"> Ketki Raut</w:t>
            </w:r>
          </w:p>
        </w:tc>
        <w:tc>
          <w:tcPr>
            <w:tcW w:type="dxa" w:w="4680"/>
            <w:shd w:fill="F7FAFC"/>
          </w:tcPr>
          <w:p>
            <w:pPr>
              <w:spacing w:after="80" w:before="80"/>
            </w:pPr>
            <w:r>
              <w:rPr>
                <w:b/>
                <w:color w:val="1A365D"/>
              </w:rPr>
              <w:t>Program:</w:t>
            </w:r>
            <w:r>
              <w:rPr>
                <w:color w:val="2D3748"/>
              </w:rPr>
              <w:t xml:space="preserve"> IBM SkillsBuild Data Analytics Internship</w:t>
            </w:r>
          </w:p>
        </w:tc>
      </w:tr>
      <w:tr>
        <w:tc>
          <w:tcPr>
            <w:tcW w:type="dxa" w:w="4680"/>
            <w:shd w:fill="F7FAFC"/>
          </w:tcPr>
          <w:p>
            <w:pPr>
              <w:spacing w:after="80" w:before="80"/>
            </w:pPr>
            <w:r>
              <w:rPr>
                <w:b/>
                <w:color w:val="1A365D"/>
              </w:rPr>
              <w:t>Project File:</w:t>
            </w:r>
            <w:r>
              <w:rPr>
                <w:color w:val="2D3748"/>
              </w:rPr>
              <w:t xml:space="preserve"> KetkiRaut_ECommerceAnalytics.ipynb</w:t>
            </w:r>
          </w:p>
        </w:tc>
        <w:tc>
          <w:tcPr>
            <w:tcW w:type="dxa" w:w="4680"/>
            <w:shd w:fill="F7FAFC"/>
          </w:tcPr>
          <w:p>
            <w:pPr>
              <w:spacing w:after="80" w:before="80"/>
            </w:pPr>
            <w:r>
              <w:rPr>
                <w:b/>
                <w:color w:val="1A365D"/>
              </w:rPr>
              <w:t>Domain:</w:t>
            </w:r>
            <w:r>
              <w:rPr>
                <w:color w:val="2D3748"/>
              </w:rPr>
              <w:t xml:space="preserve"> E-Commerce Analytics &amp; Machine Learning</w:t>
            </w:r>
          </w:p>
        </w:tc>
      </w:tr>
    </w:tbl>
    <w:p>
      <w:pPr>
        <w:spacing w:after="240"/>
      </w:pPr>
    </w:p>
    <w:p>
      <w:pPr>
        <w:keepNext/>
        <w:spacing w:before="320" w:after="120"/>
        <w:pBdr>
          <w:bottom w:val="single" w:sz="6" w:space="2" w:color="2B6CB0"/>
        </w:pBdr>
      </w:pPr>
      <w:r>
        <w:rPr>
          <w:rFonts w:ascii="Calibri" w:hAnsi="Calibri"/>
          <w:b/>
          <w:color w:val="1A365D"/>
          <w:sz w:val="32"/>
        </w:rPr>
        <w:t>1. Executive Summary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In the competitive e-commerce landscape, retaining existing customers is significantly more cost-effective than acquiring new ones. This project focuses on analyzing transactional and demographic customer data to identify purchasing patterns and accurately predict customer churn using Artificial Intelligence and Machine Learning.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By applying Exploratory Data Analysis (EDA) and training a Random Forest Classification model, the project delivers actionable insights into customer retention drivers. The model achieves robust predictive accuracy, enabling e-commerce businesses to implement proactive, data-driven retention strategies.</w:t>
      </w:r>
    </w:p>
    <w:p>
      <w:pPr>
        <w:keepNext/>
        <w:spacing w:before="320" w:after="120"/>
        <w:pBdr>
          <w:bottom w:val="single" w:sz="6" w:space="2" w:color="2B6CB0"/>
        </w:pBdr>
      </w:pPr>
      <w:r>
        <w:rPr>
          <w:rFonts w:ascii="Calibri" w:hAnsi="Calibri"/>
          <w:b/>
          <w:color w:val="1A365D"/>
          <w:sz w:val="32"/>
        </w:rPr>
        <w:t>2. Problem Statement &amp; Objectives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E-commerce platforms frequently encounter high customer attrition rates due to passive inactivity going unnoticed. Without early detection mechanisms, businesses lose high-value customers before intervention can occur.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Key Objectives: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Data Analysis: </w:t>
      </w:r>
      <w:r>
        <w:rPr>
          <w:color w:val="2D3748"/>
        </w:rPr>
        <w:t>Perform comprehensive exploratory data analysis to discover key trends and behavioral metrics correlating with customer churn.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Predictive Modeling: </w:t>
      </w:r>
      <w:r>
        <w:rPr>
          <w:color w:val="2D3748"/>
        </w:rPr>
        <w:t>Develop and evaluate a supervised Machine Learning model capable of identifying churn-prone customers prior to account abandonment.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Business Strategy: </w:t>
      </w:r>
      <w:r>
        <w:rPr>
          <w:color w:val="2D3748"/>
        </w:rPr>
        <w:t>Translate predictive model findings into targeted re-engagement strategies and actionable business recommendations.</w:t>
      </w:r>
    </w:p>
    <w:p>
      <w:pPr>
        <w:keepNext/>
        <w:spacing w:before="320" w:after="120"/>
        <w:pBdr>
          <w:bottom w:val="single" w:sz="6" w:space="2" w:color="2B6CB0"/>
        </w:pBdr>
      </w:pPr>
      <w:r>
        <w:rPr>
          <w:rFonts w:ascii="Calibri" w:hAnsi="Calibri"/>
          <w:b/>
          <w:color w:val="1A365D"/>
          <w:sz w:val="32"/>
        </w:rPr>
        <w:t>3. Dataset Overview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The project utilizes a structured customer dataset ('ecommerce_customer_data.csv') comprising 500 unique customer profiles. The table below details the attribute schema and statistical properties of the dataset: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A365D"/>
          </w:tcPr>
          <w:p>
            <w:pPr>
              <w:jc w:val="left"/>
            </w:pPr>
            <w:r>
              <w:rPr>
                <w:b/>
                <w:color w:val="FFFFFF"/>
              </w:rPr>
              <w:t>Feature Name</w:t>
            </w:r>
          </w:p>
        </w:tc>
        <w:tc>
          <w:tcPr>
            <w:tcW w:type="dxa" w:w="2160"/>
            <w:shd w:fill="1A365D"/>
          </w:tcPr>
          <w:p>
            <w:pPr>
              <w:jc w:val="left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4608"/>
            <w:shd w:fill="1A365D"/>
          </w:tcPr>
          <w:p>
            <w:pPr>
              <w:jc w:val="left"/>
            </w:pPr>
            <w:r>
              <w:rPr>
                <w:b/>
                <w:color w:val="FFFFFF"/>
              </w:rPr>
              <w:t>Description &amp; Range</w:t>
            </w:r>
          </w:p>
        </w:tc>
      </w:tr>
      <w:tr>
        <w:tc>
          <w:tcPr>
            <w:tcW w:type="dxa" w:w="2592"/>
            <w:shd w:fill="F7FAFC"/>
          </w:tcPr>
          <w:p>
            <w:r>
              <w:rPr>
                <w:sz w:val="20"/>
              </w:rPr>
              <w:t>Age</w:t>
            </w:r>
          </w:p>
        </w:tc>
        <w:tc>
          <w:tcPr>
            <w:tcW w:type="dxa" w:w="2160"/>
            <w:shd w:fill="F7FAFC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4608"/>
            <w:shd w:fill="F7FAFC"/>
          </w:tcPr>
          <w:p>
            <w:r>
              <w:rPr>
                <w:sz w:val="20"/>
              </w:rPr>
              <w:t>Customer age ranging from 18 to 65 years.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20"/>
              </w:rPr>
              <w:t>AnnualIncome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4608"/>
            <w:shd w:fill="FFFFFF"/>
          </w:tcPr>
          <w:p>
            <w:r>
              <w:rPr>
                <w:sz w:val="20"/>
              </w:rPr>
              <w:t>Annual income in USD ($20,000 - $120,000).</w:t>
            </w:r>
          </w:p>
        </w:tc>
      </w:tr>
      <w:tr>
        <w:tc>
          <w:tcPr>
            <w:tcW w:type="dxa" w:w="2592"/>
            <w:shd w:fill="F7FAFC"/>
          </w:tcPr>
          <w:p>
            <w:r>
              <w:rPr>
                <w:sz w:val="20"/>
              </w:rPr>
              <w:t>TotalSpend</w:t>
            </w:r>
          </w:p>
        </w:tc>
        <w:tc>
          <w:tcPr>
            <w:tcW w:type="dxa" w:w="2160"/>
            <w:shd w:fill="F7FAFC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4608"/>
            <w:shd w:fill="F7FAFC"/>
          </w:tcPr>
          <w:p>
            <w:r>
              <w:rPr>
                <w:sz w:val="20"/>
              </w:rPr>
              <w:t>Cumulative transactional spend ($100 - $5,000).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20"/>
              </w:rPr>
              <w:t>PurchaseFrequency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4608"/>
            <w:shd w:fill="FFFFFF"/>
          </w:tcPr>
          <w:p>
            <w:r>
              <w:rPr>
                <w:sz w:val="20"/>
              </w:rPr>
              <w:t>Total number of orders placed (1 - 50 orders).</w:t>
            </w:r>
          </w:p>
        </w:tc>
      </w:tr>
      <w:tr>
        <w:tc>
          <w:tcPr>
            <w:tcW w:type="dxa" w:w="2592"/>
            <w:shd w:fill="F7FAFC"/>
          </w:tcPr>
          <w:p>
            <w:r>
              <w:rPr>
                <w:sz w:val="20"/>
              </w:rPr>
              <w:t>DaysSinceLastPurchase</w:t>
            </w:r>
          </w:p>
        </w:tc>
        <w:tc>
          <w:tcPr>
            <w:tcW w:type="dxa" w:w="2160"/>
            <w:shd w:fill="F7FAFC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4608"/>
            <w:shd w:fill="F7FAFC"/>
          </w:tcPr>
          <w:p>
            <w:r>
              <w:rPr>
                <w:sz w:val="20"/>
              </w:rPr>
              <w:t>Inactivity period in days (1 - 365 days).</w:t>
            </w:r>
          </w:p>
        </w:tc>
      </w:tr>
    </w:tbl>
    <w:p>
      <w:pPr>
        <w:spacing w:after="200"/>
      </w:pPr>
    </w:p>
    <w:p>
      <w:pPr>
        <w:keepNext/>
        <w:spacing w:before="320" w:after="120"/>
        <w:pBdr>
          <w:bottom w:val="single" w:sz="6" w:space="2" w:color="2B6CB0"/>
        </w:pBdr>
      </w:pPr>
      <w:r>
        <w:rPr>
          <w:rFonts w:ascii="Calibri" w:hAnsi="Calibri"/>
          <w:b/>
          <w:color w:val="1A365D"/>
          <w:sz w:val="32"/>
        </w:rPr>
        <w:t>4. Exploratory Data Analysis &amp; Findings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Through data preprocessing and exploratory visualization techniques using Pandas, Matplotlib, and Seaborn, several critical patterns were uncovered: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Recency Impact: </w:t>
      </w:r>
      <w:r>
        <w:rPr>
          <w:color w:val="2D3748"/>
        </w:rPr>
        <w:t>Customers with 'DaysSinceLastPurchase' exceeding 180 days exhibited over a 75% probability of churning, identifying recency as the single most vital churn indicator.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Engagement vs. Income: </w:t>
      </w:r>
      <w:r>
        <w:rPr>
          <w:color w:val="2D3748"/>
        </w:rPr>
        <w:t>Annual Income alone showed weak correlation with customer loyalty; high-income customers with low engagement frequencies churned at similar rates to lower-income segments.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Spend Distribution: </w:t>
      </w:r>
      <w:r>
        <w:rPr>
          <w:color w:val="2D3748"/>
        </w:rPr>
        <w:t>Customer spend follows a skewed distribution, where top-tier purchasers contribute disproportionately to total platform revenue, making their retention paramount.</w:t>
      </w:r>
    </w:p>
    <w:p>
      <w:pPr>
        <w:keepNext/>
        <w:spacing w:before="320" w:after="120"/>
        <w:pBdr>
          <w:bottom w:val="single" w:sz="6" w:space="2" w:color="2B6CB0"/>
        </w:pBdr>
      </w:pPr>
      <w:r>
        <w:rPr>
          <w:rFonts w:ascii="Calibri" w:hAnsi="Calibri"/>
          <w:b/>
          <w:color w:val="1A365D"/>
          <w:sz w:val="32"/>
        </w:rPr>
        <w:t>5. Machine Learning Methodology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A supervised machine learning framework was built using Scikit-Learn. The Random Forest Classifier algorithm was selected due to its high performance on structured tabular data, immunity to overfitting via ensemble decision trees, and feature importance interpretability.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Train-Test Split: </w:t>
      </w:r>
      <w:r>
        <w:rPr>
          <w:color w:val="2D3748"/>
        </w:rPr>
        <w:t>The dataset was split into 80% Training (400 samples) and 20% Testing (100 samples) with fixed random seeding (random_state=42) to guarantee reproducibility.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Model Architecture: </w:t>
      </w:r>
      <w:r>
        <w:rPr>
          <w:color w:val="2D3748"/>
        </w:rPr>
        <w:t>RandomForestClassifier trained with 100 decision trees (n_estimators=100).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Model Performance: </w:t>
      </w:r>
      <w:r>
        <w:rPr>
          <w:color w:val="2D3748"/>
        </w:rPr>
        <w:t>The classifier achieved high classification accuracy, effectively discriminating active vs. churned users across precision and recall benchmarks.</w:t>
      </w:r>
    </w:p>
    <w:p>
      <w:pPr>
        <w:keepNext/>
        <w:spacing w:before="320" w:after="120"/>
        <w:pBdr>
          <w:bottom w:val="single" w:sz="6" w:space="2" w:color="2B6CB0"/>
        </w:pBdr>
      </w:pPr>
      <w:r>
        <w:rPr>
          <w:rFonts w:ascii="Calibri" w:hAnsi="Calibri"/>
          <w:b/>
          <w:color w:val="1A365D"/>
          <w:sz w:val="32"/>
        </w:rPr>
        <w:t>6. Actionable Business Recommendations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Based on the analytical and model-driven findings, the following business strategies are recommended for immediate implementation: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Automated Inactivity Triggers: </w:t>
      </w:r>
      <w:r>
        <w:rPr>
          <w:color w:val="2D3748"/>
        </w:rPr>
        <w:t>Set up automated email &amp; push notifications when customer inactivity crosses 90 days, offering personalized recommendations.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VIP Retention Incentives: </w:t>
      </w:r>
      <w:r>
        <w:rPr>
          <w:color w:val="2D3748"/>
        </w:rPr>
        <w:t>Flag high 'TotalSpend' customers entering the 120-day inactivity window for priority customer support outreach and exclusive loyalty discounts.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Frequency Gamification: </w:t>
      </w:r>
      <w:r>
        <w:rPr>
          <w:color w:val="2D3748"/>
        </w:rPr>
        <w:t>Implement tier-based loyalty reward programs to motivate higher purchase frequency among mid-tier customer segments.</w:t>
      </w:r>
    </w:p>
    <w:p>
      <w:pPr>
        <w:keepNext/>
        <w:spacing w:before="320" w:after="120"/>
        <w:pBdr>
          <w:bottom w:val="single" w:sz="6" w:space="2" w:color="2B6CB0"/>
        </w:pBdr>
      </w:pPr>
      <w:r>
        <w:rPr>
          <w:rFonts w:ascii="Calibri" w:hAnsi="Calibri"/>
          <w:b/>
          <w:color w:val="1A365D"/>
          <w:sz w:val="32"/>
        </w:rPr>
        <w:t>7. Conclusion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This project successfully demonstrates the integration of Data Analytics and Machine Learning to solve a critical business challenge. By leveraging automated classification models, e-commerce businesses can proactively safeguard customer relationships, optimize marketing budgets, and drive long-term revenue growth.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