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b/>
          <w:bCs/>
          <w:color w:val="3D5A1E"/>
          <w:sz w:val="26"/>
          <w:szCs w:val="26"/>
        </w:rPr>
        <w:t xml:space="preserve">NEPSIA SANTÉ &amp; PRÉVENTION</w:t>
      </w:r>
    </w:p>
    <w:p>
      <w:pPr>
        <w:spacing w:before="40"/>
      </w:pPr>
      <w:r>
        <w:rPr>
          <w:i/>
          <w:iCs/>
          <w:color w:val="595959"/>
          <w:sz w:val="20"/>
          <w:szCs w:val="20"/>
        </w:rPr>
        <w:t xml:space="preserve">Hospitalisation à Domicile (HAD) — Santé au Travail — Addictologie — Réadaptation</w:t>
      </w:r>
    </w:p>
    <w:p>
      <w:pPr>
        <w:pBdr>
          <w:bottom w:val="single" w:color="C9A227" w:sz="12" w:space="8"/>
        </w:pBdr>
        <w:spacing w:after="800"/>
      </w:pPr>
      <w:r>
        <w:t xml:space="preserve"/>
      </w:r>
    </w:p>
    <w:p>
      <w:pPr>
        <w:spacing w:before="1400"/>
        <w:jc w:val="center"/>
      </w:pPr>
      <w:r>
        <w:rPr>
          <w:b/>
          <w:bCs/>
          <w:color w:val="3D5A1E"/>
          <w:sz w:val="56"/>
          <w:szCs w:val="56"/>
        </w:rPr>
        <w:t xml:space="preserve">CAHIER DES CHARGES</w:t>
      </w:r>
    </w:p>
    <w:p>
      <w:pPr>
        <w:spacing w:after="200" w:before="200"/>
        <w:jc w:val="center"/>
      </w:pPr>
      <w:r>
        <w:rPr>
          <w:b/>
          <w:bCs/>
          <w:color w:val="6B8E23"/>
          <w:sz w:val="30"/>
          <w:szCs w:val="30"/>
        </w:rPr>
        <w:t xml:space="preserve">Plateforme digitale de gestion de l'activité HAD &amp; Santé au Travail</w:t>
      </w:r>
    </w:p>
    <w:p>
      <w:pPr>
        <w:spacing w:after="1200"/>
        <w:jc w:val="center"/>
      </w:pPr>
      <w:r>
        <w:rPr>
          <w:i/>
          <w:iCs/>
          <w:color w:val="595959"/>
          <w:sz w:val="22"/>
          <w:szCs w:val="22"/>
        </w:rPr>
        <w:t xml:space="preserve">« NEPSIA CARE » — Solution intégrée de coordination des soins, du personnel et de la qualité</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shd w:fill="3D5A1E" w:val="clear"/>
            <w:tcMar>
              <w:top w:type="dxa" w:w="80"/>
              <w:left w:type="dxa" w:w="100"/>
              <w:bottom w:type="dxa" w:w="80"/>
              <w:right w:type="dxa" w:w="100"/>
            </w:tcMar>
            <w:vAlign w:val="center"/>
          </w:tcPr>
          <w:p>
            <w:r>
              <w:rPr>
                <w:b/>
                <w:bCs/>
                <w:color w:val="FFFFFF"/>
                <w:sz w:val="19"/>
                <w:szCs w:val="19"/>
              </w:rPr>
              <w:t xml:space="preserve">Maître d'ouvrage</w:t>
            </w:r>
          </w:p>
        </w:tc>
        <w:tc>
          <w:tcPr>
            <w:tcW w:type="dxa" w:w="5200"/>
            <w:tcMar>
              <w:top w:type="dxa" w:w="80"/>
              <w:left w:type="dxa" w:w="100"/>
              <w:bottom w:type="dxa" w:w="80"/>
              <w:right w:type="dxa" w:w="100"/>
            </w:tcMar>
            <w:vAlign w:val="center"/>
          </w:tcPr>
          <w:p>
            <w:r>
              <w:rPr>
                <w:b w:val="false"/>
                <w:bCs w:val="false"/>
                <w:color w:val="1A1A1A"/>
                <w:sz w:val="19"/>
                <w:szCs w:val="19"/>
              </w:rPr>
              <w:t xml:space="preserve">NEPSIA Santé &amp; Prévention — SARL, Dr TIABAS N'DA Eliane (Gérante)</w:t>
            </w:r>
          </w:p>
        </w:tc>
      </w:tr>
      <w:tr>
        <w:tc>
          <w:tcPr>
            <w:tcW w:type="dxa" w:w="2800"/>
            <w:shd w:fill="3D5A1E" w:val="clear"/>
            <w:tcMar>
              <w:top w:type="dxa" w:w="80"/>
              <w:left w:type="dxa" w:w="100"/>
              <w:bottom w:type="dxa" w:w="80"/>
              <w:right w:type="dxa" w:w="100"/>
            </w:tcMar>
            <w:vAlign w:val="center"/>
          </w:tcPr>
          <w:p>
            <w:r>
              <w:rPr>
                <w:b/>
                <w:bCs/>
                <w:color w:val="FFFFFF"/>
                <w:sz w:val="19"/>
                <w:szCs w:val="19"/>
              </w:rPr>
              <w:t xml:space="preserve">Maître d'œuvre</w:t>
            </w:r>
          </w:p>
        </w:tc>
        <w:tc>
          <w:tcPr>
            <w:tcW w:type="dxa" w:w="5200"/>
            <w:shd w:fill="F2F2E9" w:val="clear"/>
            <w:tcMar>
              <w:top w:type="dxa" w:w="80"/>
              <w:left w:type="dxa" w:w="100"/>
              <w:bottom w:type="dxa" w:w="80"/>
              <w:right w:type="dxa" w:w="100"/>
            </w:tcMar>
            <w:vAlign w:val="center"/>
          </w:tcPr>
          <w:p>
            <w:r>
              <w:rPr>
                <w:b w:val="false"/>
                <w:bCs w:val="false"/>
                <w:color w:val="1A1A1A"/>
                <w:sz w:val="19"/>
                <w:szCs w:val="19"/>
              </w:rPr>
              <w:t xml:space="preserve">Compagnie des Services Numériques (CSN) — Nexova, Abidjan</w:t>
            </w:r>
          </w:p>
        </w:tc>
      </w:tr>
      <w:tr>
        <w:tc>
          <w:tcPr>
            <w:tcW w:type="dxa" w:w="2800"/>
            <w:shd w:fill="3D5A1E" w:val="clear"/>
            <w:tcMar>
              <w:top w:type="dxa" w:w="80"/>
              <w:left w:type="dxa" w:w="100"/>
              <w:bottom w:type="dxa" w:w="80"/>
              <w:right w:type="dxa" w:w="100"/>
            </w:tcMar>
            <w:vAlign w:val="center"/>
          </w:tcPr>
          <w:p>
            <w:r>
              <w:rPr>
                <w:b/>
                <w:bCs/>
                <w:color w:val="FFFFFF"/>
                <w:sz w:val="19"/>
                <w:szCs w:val="19"/>
              </w:rPr>
              <w:t xml:space="preserve">Référence</w:t>
            </w:r>
          </w:p>
        </w:tc>
        <w:tc>
          <w:tcPr>
            <w:tcW w:type="dxa" w:w="5200"/>
            <w:tcMar>
              <w:top w:type="dxa" w:w="80"/>
              <w:left w:type="dxa" w:w="100"/>
              <w:bottom w:type="dxa" w:w="80"/>
              <w:right w:type="dxa" w:w="100"/>
            </w:tcMar>
            <w:vAlign w:val="center"/>
          </w:tcPr>
          <w:p>
            <w:r>
              <w:rPr>
                <w:b w:val="false"/>
                <w:bCs w:val="false"/>
                <w:color w:val="1A1A1A"/>
                <w:sz w:val="19"/>
                <w:szCs w:val="19"/>
              </w:rPr>
              <w:t xml:space="preserve">CDC-NEPSIA-CARE-2026 v1.0</w:t>
            </w:r>
          </w:p>
        </w:tc>
      </w:tr>
      <w:tr>
        <w:tc>
          <w:tcPr>
            <w:tcW w:type="dxa" w:w="2800"/>
            <w:shd w:fill="3D5A1E" w:val="clear"/>
            <w:tcMar>
              <w:top w:type="dxa" w:w="80"/>
              <w:left w:type="dxa" w:w="100"/>
              <w:bottom w:type="dxa" w:w="80"/>
              <w:right w:type="dxa" w:w="100"/>
            </w:tcMar>
            <w:vAlign w:val="center"/>
          </w:tcPr>
          <w:p>
            <w:r>
              <w:rPr>
                <w:b/>
                <w:bCs/>
                <w:color w:val="FFFFFF"/>
                <w:sz w:val="19"/>
                <w:szCs w:val="19"/>
              </w:rPr>
              <w:t xml:space="preserve">Date</w:t>
            </w:r>
          </w:p>
        </w:tc>
        <w:tc>
          <w:tcPr>
            <w:tcW w:type="dxa" w:w="5200"/>
            <w:shd w:fill="F2F2E9" w:val="clear"/>
            <w:tcMar>
              <w:top w:type="dxa" w:w="80"/>
              <w:left w:type="dxa" w:w="100"/>
              <w:bottom w:type="dxa" w:w="80"/>
              <w:right w:type="dxa" w:w="100"/>
            </w:tcMar>
            <w:vAlign w:val="center"/>
          </w:tcPr>
          <w:p>
            <w:r>
              <w:rPr>
                <w:b w:val="false"/>
                <w:bCs w:val="false"/>
                <w:color w:val="1A1A1A"/>
                <w:sz w:val="19"/>
                <w:szCs w:val="19"/>
              </w:rPr>
              <w:t xml:space="preserve">30 juillet 2026</w:t>
            </w:r>
          </w:p>
        </w:tc>
      </w:tr>
      <w:tr>
        <w:tc>
          <w:tcPr>
            <w:tcW w:type="dxa" w:w="2800"/>
            <w:shd w:fill="3D5A1E" w:val="clear"/>
            <w:tcMar>
              <w:top w:type="dxa" w:w="80"/>
              <w:left w:type="dxa" w:w="100"/>
              <w:bottom w:type="dxa" w:w="80"/>
              <w:right w:type="dxa" w:w="100"/>
            </w:tcMar>
            <w:vAlign w:val="center"/>
          </w:tcPr>
          <w:p>
            <w:r>
              <w:rPr>
                <w:b/>
                <w:bCs/>
                <w:color w:val="FFFFFF"/>
                <w:sz w:val="19"/>
                <w:szCs w:val="19"/>
              </w:rPr>
              <w:t xml:space="preserve">Périmètre géographique</w:t>
            </w:r>
          </w:p>
        </w:tc>
        <w:tc>
          <w:tcPr>
            <w:tcW w:type="dxa" w:w="5200"/>
            <w:tcMar>
              <w:top w:type="dxa" w:w="80"/>
              <w:left w:type="dxa" w:w="100"/>
              <w:bottom w:type="dxa" w:w="80"/>
              <w:right w:type="dxa" w:w="100"/>
            </w:tcMar>
            <w:vAlign w:val="center"/>
          </w:tcPr>
          <w:p>
            <w:r>
              <w:rPr>
                <w:b w:val="false"/>
                <w:bCs w:val="false"/>
                <w:color w:val="1A1A1A"/>
                <w:sz w:val="19"/>
                <w:szCs w:val="19"/>
              </w:rPr>
              <w:t xml:space="preserve">Abidjan, Côte d'Ivoire — Riviera Attoban</w:t>
            </w:r>
          </w:p>
        </w:tc>
      </w:tr>
    </w:tbl>
    <w:p>
      <w:r>
        <w:br w:type="page"/>
      </w:r>
    </w:p>
    <w:p>
      <w:pPr>
        <w:sectPr>
          <w:pgSz w:w="11906" w:h="16838" w:orient="portrait"/>
          <w:pgMar w:top="1440" w:right="1200" w:bottom="1440" w:left="1200" w:header="708" w:footer="708" w:gutter="0"/>
          <w:pgNumType/>
          <w:docGrid w:linePitch="360"/>
        </w:sectPr>
      </w:pPr>
    </w:p>
    <w:p>
      <w:pPr>
        <w:pStyle w:val="Heading1"/>
        <w:pBdr>
          <w:bottom w:val="single" w:color="3D5A1E" w:sz="8" w:space="4"/>
        </w:pBdr>
        <w:spacing w:after="200" w:before="400"/>
      </w:pPr>
      <w:r>
        <w:rPr>
          <w:b/>
          <w:bCs/>
          <w:color w:val="3D5A1E"/>
          <w:sz w:val="30"/>
          <w:szCs w:val="30"/>
        </w:rPr>
        <w:t xml:space="preserve">1.  </w:t>
      </w:r>
      <w:r>
        <w:rPr>
          <w:b/>
          <w:bCs/>
          <w:color w:val="3D5A1E"/>
          <w:sz w:val="30"/>
          <w:szCs w:val="30"/>
        </w:rPr>
        <w:t xml:space="preserve">Contexte et présentation du projet</w:t>
      </w:r>
    </w:p>
    <w:p>
      <w:pPr>
        <w:spacing w:after="140" w:line="276"/>
      </w:pPr>
      <w:r>
        <w:rPr>
          <w:color w:val="1A1A1A"/>
          <w:sz w:val="21"/>
          <w:szCs w:val="21"/>
        </w:rPr>
        <w:t xml:space="preserve">NEPSIA Santé &amp; Prévention est une structure ivoirienne de services de santé à domicile dirigée par le Dr TIABAS N'DA Eliane, basée à Riviera Attoban (Abidjan). L'activité couvre deux grands pôles : l'Hospitalisation à Domicile (HAD), qui prend en charge des patients de tous âges et pathologies avec une équipe pluridisciplinaire mobilisable 24h/24 et 7j/7, et la Santé au Travail, qui accompagne les entreprises clientes dans leurs obligations réglementaires (visites médicales, CSST, document unique, audits, formations, dépistages).</w:t>
      </w:r>
    </w:p>
    <w:p>
      <w:pPr>
        <w:spacing w:after="140" w:line="276"/>
      </w:pPr>
      <w:r>
        <w:rPr>
          <w:color w:val="1A1A1A"/>
          <w:sz w:val="21"/>
          <w:szCs w:val="21"/>
        </w:rPr>
        <w:t xml:space="preserve">La structure a formalisé depuis janvier 2023 un Système de Management de la Qualité (référence PQ-GQ-001) organisé autour de quatre axes stratégiques : satisfaction client, modernisation de la gestion, développement du capital humain et développement durable. Elle mobilise aujourd'hui plus de 100 professionnels (médecins, infirmiers, aides-soignants, kinésithérapeutes, ergothérapeutes, diététiciens, orthophonistes, assistants sociaux, auxiliaires de vie, aides ménagers).</w:t>
      </w:r>
    </w:p>
    <w:p>
      <w:pPr>
        <w:spacing w:after="140" w:line="276"/>
      </w:pPr>
      <w:r>
        <w:rPr>
          <w:color w:val="1A1A1A"/>
          <w:sz w:val="21"/>
          <w:szCs w:val="21"/>
        </w:rPr>
        <w:t xml:space="preserve">À ce jour, la coordination de l'activité (dossiers patients, planning des intervenants, suivi qualité, facturation, gestion des formations) repose sur des outils dispersés (papier, tableurs, échanges téléphoniques). Le présent cahier des charges définit les spécifications d'une solution digitale unique — NEPSIA CARE — destinée à centraliser et fiabiliser l'ensemble de ces processus, à l'image des solutions de référence du marché (Dossier Patient Informatisé HAD, coordination des soins, facturation), adaptées au contexte et à l'échelle de NEPSIA.</w:t>
      </w:r>
    </w:p>
    <w:p>
      <w:pPr>
        <w:pStyle w:val="Heading1"/>
        <w:pBdr>
          <w:bottom w:val="single" w:color="3D5A1E" w:sz="8" w:space="4"/>
        </w:pBdr>
        <w:spacing w:after="200" w:before="400"/>
      </w:pPr>
      <w:r>
        <w:rPr>
          <w:b/>
          <w:bCs/>
          <w:color w:val="3D5A1E"/>
          <w:sz w:val="30"/>
          <w:szCs w:val="30"/>
        </w:rPr>
        <w:t xml:space="preserve">2.  </w:t>
      </w:r>
      <w:r>
        <w:rPr>
          <w:b/>
          <w:bCs/>
          <w:color w:val="3D5A1E"/>
          <w:sz w:val="30"/>
          <w:szCs w:val="30"/>
        </w:rPr>
        <w:t xml:space="preserve">Objectifs du projet</w:t>
      </w:r>
    </w:p>
    <w:p>
      <w:pPr>
        <w:pStyle w:val="ListParagraph"/>
        <w:numPr>
          <w:ilvl w:val="0"/>
          <w:numId w:val="2"/>
        </w:numPr>
        <w:spacing w:after="60"/>
      </w:pPr>
      <w:r>
        <w:rPr>
          <w:sz w:val="21"/>
          <w:szCs w:val="21"/>
        </w:rPr>
        <w:t xml:space="preserve">Disposer d'un dossier patient numérique unique, accessible en temps réel par l'équipe pluridisciplinaire, sécurisé et conforme à la confidentialité des données de santé.</w:t>
      </w:r>
    </w:p>
    <w:p>
      <w:pPr>
        <w:pStyle w:val="ListParagraph"/>
        <w:numPr>
          <w:ilvl w:val="0"/>
          <w:numId w:val="2"/>
        </w:numPr>
        <w:spacing w:after="60"/>
      </w:pPr>
      <w:r>
        <w:rPr>
          <w:sz w:val="21"/>
          <w:szCs w:val="21"/>
        </w:rPr>
        <w:t xml:space="preserve">Digitaliser le parcours d'admission HAD en 4 étapes (évaluation médicale → démarche infirmière → étude ergonomique → coordination continue) avec traçabilité complète.</w:t>
      </w:r>
    </w:p>
    <w:p>
      <w:pPr>
        <w:pStyle w:val="ListParagraph"/>
        <w:numPr>
          <w:ilvl w:val="0"/>
          <w:numId w:val="2"/>
        </w:numPr>
        <w:spacing w:after="60"/>
      </w:pPr>
      <w:r>
        <w:rPr>
          <w:sz w:val="21"/>
          <w:szCs w:val="21"/>
        </w:rPr>
        <w:t xml:space="preserve">Optimiser la planification et le suivi des interventions à domicile (soins, aide-ménagère, repas, garde d'enfants, surveillance 24h/24, urgences) par intervenant, patient et créneau.</w:t>
      </w:r>
    </w:p>
    <w:p>
      <w:pPr>
        <w:pStyle w:val="ListParagraph"/>
        <w:numPr>
          <w:ilvl w:val="0"/>
          <w:numId w:val="2"/>
        </w:numPr>
        <w:spacing w:after="60"/>
      </w:pPr>
      <w:r>
        <w:rPr>
          <w:sz w:val="21"/>
          <w:szCs w:val="21"/>
        </w:rPr>
        <w:t xml:space="preserve">Piloter l'activité Santé au Travail pour les entreprises clientes : visites médicales, CSST, document unique, campagnes de dépistage et de sensibilisation.</w:t>
      </w:r>
    </w:p>
    <w:p>
      <w:pPr>
        <w:pStyle w:val="ListParagraph"/>
        <w:numPr>
          <w:ilvl w:val="0"/>
          <w:numId w:val="2"/>
        </w:numPr>
        <w:spacing w:after="60"/>
      </w:pPr>
      <w:r>
        <w:rPr>
          <w:sz w:val="21"/>
          <w:szCs w:val="21"/>
        </w:rPr>
        <w:t xml:space="preserve">Assurer la traçabilité réglementaire : reporting journalier du personnel paramédical, dossier médical support, gestion de la valise médicalisée.</w:t>
      </w:r>
    </w:p>
    <w:p>
      <w:pPr>
        <w:pStyle w:val="ListParagraph"/>
        <w:numPr>
          <w:ilvl w:val="0"/>
          <w:numId w:val="2"/>
        </w:numPr>
        <w:spacing w:after="60"/>
      </w:pPr>
      <w:r>
        <w:rPr>
          <w:sz w:val="21"/>
          <w:szCs w:val="21"/>
        </w:rPr>
        <w:t xml:space="preserve">Suivre en continu les indicateurs du Système de Management de la Qualité (SMQ) et les objectifs court/moyen/long terme par domaine.</w:t>
      </w:r>
    </w:p>
    <w:p>
      <w:pPr>
        <w:pStyle w:val="ListParagraph"/>
        <w:numPr>
          <w:ilvl w:val="0"/>
          <w:numId w:val="2"/>
        </w:numPr>
        <w:spacing w:after="60"/>
      </w:pPr>
      <w:r>
        <w:rPr>
          <w:sz w:val="21"/>
          <w:szCs w:val="21"/>
        </w:rPr>
        <w:t xml:space="preserve">Fiabiliser la facturation (patients, familles, assurances, entreprises clientes) et le suivi financier de l'activité.</w:t>
      </w:r>
    </w:p>
    <w:p>
      <w:pPr>
        <w:pStyle w:val="ListParagraph"/>
        <w:numPr>
          <w:ilvl w:val="0"/>
          <w:numId w:val="2"/>
        </w:numPr>
        <w:spacing w:after="60"/>
      </w:pPr>
      <w:r>
        <w:rPr>
          <w:sz w:val="21"/>
          <w:szCs w:val="21"/>
        </w:rPr>
        <w:t xml:space="preserve">Gérer le cycle de vie des ressources humaines : formation initiale, renforcement de capacités trimestriel, habilitations par intervenant.</w:t>
      </w:r>
    </w:p>
    <w:p>
      <w:pPr>
        <w:pStyle w:val="ListParagraph"/>
        <w:numPr>
          <w:ilvl w:val="0"/>
          <w:numId w:val="2"/>
        </w:numPr>
        <w:spacing w:after="60"/>
      </w:pPr>
      <w:r>
        <w:rPr>
          <w:sz w:val="21"/>
          <w:szCs w:val="21"/>
        </w:rPr>
        <w:t xml:space="preserve">Offrir un accès mobile (terrain, hors connexion) aux intervenants et un accès web à la direction et au back-office.</w:t>
      </w:r>
    </w:p>
    <w:p>
      <w:pPr>
        <w:pStyle w:val="Heading1"/>
        <w:pBdr>
          <w:bottom w:val="single" w:color="3D5A1E" w:sz="8" w:space="4"/>
        </w:pBdr>
        <w:spacing w:after="200" w:before="400"/>
      </w:pPr>
      <w:r>
        <w:rPr>
          <w:b/>
          <w:bCs/>
          <w:color w:val="3D5A1E"/>
          <w:sz w:val="30"/>
          <w:szCs w:val="30"/>
        </w:rPr>
        <w:t xml:space="preserve">3.  </w:t>
      </w:r>
      <w:r>
        <w:rPr>
          <w:b/>
          <w:bCs/>
          <w:color w:val="3D5A1E"/>
          <w:sz w:val="30"/>
          <w:szCs w:val="30"/>
        </w:rPr>
        <w:t xml:space="preserve">Périmètre fonctionnel — modules de la solution</w:t>
      </w:r>
    </w:p>
    <w:p>
      <w:pPr>
        <w:spacing w:after="140" w:line="276"/>
      </w:pPr>
      <w:r>
        <w:rPr>
          <w:color w:val="1A1A1A"/>
          <w:sz w:val="21"/>
          <w:szCs w:val="21"/>
        </w:rPr>
        <w:t xml:space="preserve">La solution NEPSIA CARE s'organise en 9 modules fonctionnels, cohérents avec les 10 domaines d'intervention et le processus qualité de NEPSIA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00"/>
      </w:tblGrid>
      <w:tr>
        <w:tc>
          <w:tcPr>
            <w:tcW w:type="dxa" w:w="1300"/>
            <w:shd w:fill="3D5A1E" w:val="clear"/>
            <w:tcMar>
              <w:top w:type="dxa" w:w="80"/>
              <w:left w:type="dxa" w:w="100"/>
              <w:bottom w:type="dxa" w:w="80"/>
              <w:right w:type="dxa" w:w="100"/>
            </w:tcMar>
            <w:vAlign w:val="center"/>
          </w:tcPr>
          <w:p>
            <w:r>
              <w:rPr>
                <w:b/>
                <w:bCs/>
                <w:color w:val="FFFFFF"/>
                <w:sz w:val="19"/>
                <w:szCs w:val="19"/>
              </w:rPr>
              <w:t xml:space="preserve">N°</w:t>
            </w:r>
          </w:p>
        </w:tc>
        <w:tc>
          <w:tcPr>
            <w:tcW w:type="dxa" w:w="4200"/>
            <w:shd w:fill="3D5A1E" w:val="clear"/>
            <w:tcMar>
              <w:top w:type="dxa" w:w="80"/>
              <w:left w:type="dxa" w:w="100"/>
              <w:bottom w:type="dxa" w:w="80"/>
              <w:right w:type="dxa" w:w="100"/>
            </w:tcMar>
            <w:vAlign w:val="center"/>
          </w:tcPr>
          <w:p>
            <w:r>
              <w:rPr>
                <w:b/>
                <w:bCs/>
                <w:color w:val="FFFFFF"/>
                <w:sz w:val="19"/>
                <w:szCs w:val="19"/>
              </w:rPr>
              <w:t xml:space="preserve">Module</w:t>
            </w:r>
          </w:p>
        </w:tc>
        <w:tc>
          <w:tcPr>
            <w:tcW w:type="dxa" w:w="3500"/>
            <w:shd w:fill="3D5A1E" w:val="clear"/>
            <w:tcMar>
              <w:top w:type="dxa" w:w="80"/>
              <w:left w:type="dxa" w:w="100"/>
              <w:bottom w:type="dxa" w:w="80"/>
              <w:right w:type="dxa" w:w="100"/>
            </w:tcMar>
            <w:vAlign w:val="center"/>
          </w:tcPr>
          <w:p>
            <w:r>
              <w:rPr>
                <w:b/>
                <w:bCs/>
                <w:color w:val="FFFFFF"/>
                <w:sz w:val="19"/>
                <w:szCs w:val="19"/>
              </w:rPr>
              <w:t xml:space="preserve">Objectif principal</w:t>
            </w:r>
          </w:p>
        </w:tc>
      </w:tr>
      <w:tr>
        <w:tc>
          <w:tcPr>
            <w:tcW w:type="dxa" w:w="1300"/>
            <w:shd w:fill="FFFFFF" w:val="clear"/>
            <w:tcMar>
              <w:top w:type="dxa" w:w="80"/>
              <w:left w:type="dxa" w:w="100"/>
              <w:bottom w:type="dxa" w:w="80"/>
              <w:right w:type="dxa" w:w="100"/>
            </w:tcMar>
            <w:vAlign w:val="center"/>
          </w:tcPr>
          <w:p>
            <w:r>
              <w:rPr>
                <w:b w:val="false"/>
                <w:bCs w:val="false"/>
                <w:color w:val="1A1A1A"/>
                <w:sz w:val="19"/>
                <w:szCs w:val="19"/>
              </w:rPr>
              <w:t xml:space="preserve">M1</w:t>
            </w:r>
          </w:p>
        </w:tc>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Dossier Patient &amp; Admission HAD</w:t>
            </w:r>
          </w:p>
        </w:tc>
        <w:tc>
          <w:tcPr>
            <w:tcW w:type="dxa" w:w="3500"/>
            <w:shd w:fill="FFFFFF" w:val="clear"/>
            <w:tcMar>
              <w:top w:type="dxa" w:w="80"/>
              <w:left w:type="dxa" w:w="100"/>
              <w:bottom w:type="dxa" w:w="80"/>
              <w:right w:type="dxa" w:w="100"/>
            </w:tcMar>
            <w:vAlign w:val="center"/>
          </w:tcPr>
          <w:p>
            <w:r>
              <w:rPr>
                <w:b w:val="false"/>
                <w:bCs w:val="false"/>
                <w:color w:val="1A1A1A"/>
                <w:sz w:val="19"/>
                <w:szCs w:val="19"/>
              </w:rPr>
              <w:t xml:space="preserve">Centraliser identité, pathologie, protocole de soins et suivre le parcours d'admission en 4 étapes</w:t>
            </w:r>
          </w:p>
        </w:tc>
      </w:tr>
      <w:tr>
        <w:tc>
          <w:tcPr>
            <w:tcW w:type="dxa" w:w="1300"/>
            <w:shd w:fill="F2F2E9" w:val="clear"/>
            <w:tcMar>
              <w:top w:type="dxa" w:w="80"/>
              <w:left w:type="dxa" w:w="100"/>
              <w:bottom w:type="dxa" w:w="80"/>
              <w:right w:type="dxa" w:w="100"/>
            </w:tcMar>
            <w:vAlign w:val="center"/>
          </w:tcPr>
          <w:p>
            <w:r>
              <w:rPr>
                <w:b w:val="false"/>
                <w:bCs w:val="false"/>
                <w:color w:val="1A1A1A"/>
                <w:sz w:val="19"/>
                <w:szCs w:val="19"/>
              </w:rPr>
              <w:t xml:space="preserve">M2</w:t>
            </w:r>
          </w:p>
        </w:tc>
        <w:tc>
          <w:tcPr>
            <w:tcW w:type="dxa" w:w="4200"/>
            <w:shd w:fill="F2F2E9" w:val="clear"/>
            <w:tcMar>
              <w:top w:type="dxa" w:w="80"/>
              <w:left w:type="dxa" w:w="100"/>
              <w:bottom w:type="dxa" w:w="80"/>
              <w:right w:type="dxa" w:w="100"/>
            </w:tcMar>
            <w:vAlign w:val="center"/>
          </w:tcPr>
          <w:p>
            <w:r>
              <w:rPr>
                <w:b w:val="false"/>
                <w:bCs w:val="false"/>
                <w:color w:val="1A1A1A"/>
                <w:sz w:val="19"/>
                <w:szCs w:val="19"/>
              </w:rPr>
              <w:t xml:space="preserve">Planning &amp; Interventions</w:t>
            </w:r>
          </w:p>
        </w:tc>
        <w:tc>
          <w:tcPr>
            <w:tcW w:type="dxa" w:w="3500"/>
            <w:shd w:fill="F2F2E9" w:val="clear"/>
            <w:tcMar>
              <w:top w:type="dxa" w:w="80"/>
              <w:left w:type="dxa" w:w="100"/>
              <w:bottom w:type="dxa" w:w="80"/>
              <w:right w:type="dxa" w:w="100"/>
            </w:tcMar>
            <w:vAlign w:val="center"/>
          </w:tcPr>
          <w:p>
            <w:r>
              <w:rPr>
                <w:b w:val="false"/>
                <w:bCs w:val="false"/>
                <w:color w:val="1A1A1A"/>
                <w:sz w:val="19"/>
                <w:szCs w:val="19"/>
              </w:rPr>
              <w:t xml:space="preserve">Planifier et tracer les passages des intervenants par service, patient et créneau</w:t>
            </w:r>
          </w:p>
        </w:tc>
      </w:tr>
      <w:tr>
        <w:tc>
          <w:tcPr>
            <w:tcW w:type="dxa" w:w="1300"/>
            <w:shd w:fill="FFFFFF" w:val="clear"/>
            <w:tcMar>
              <w:top w:type="dxa" w:w="80"/>
              <w:left w:type="dxa" w:w="100"/>
              <w:bottom w:type="dxa" w:w="80"/>
              <w:right w:type="dxa" w:w="100"/>
            </w:tcMar>
            <w:vAlign w:val="center"/>
          </w:tcPr>
          <w:p>
            <w:r>
              <w:rPr>
                <w:b w:val="false"/>
                <w:bCs w:val="false"/>
                <w:color w:val="1A1A1A"/>
                <w:sz w:val="19"/>
                <w:szCs w:val="19"/>
              </w:rPr>
              <w:t xml:space="preserve">M3</w:t>
            </w:r>
          </w:p>
        </w:tc>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Reporting journalier &amp; Dossier de soins</w:t>
            </w:r>
          </w:p>
        </w:tc>
        <w:tc>
          <w:tcPr>
            <w:tcW w:type="dxa" w:w="3500"/>
            <w:shd w:fill="FFFFFF" w:val="clear"/>
            <w:tcMar>
              <w:top w:type="dxa" w:w="80"/>
              <w:left w:type="dxa" w:w="100"/>
              <w:bottom w:type="dxa" w:w="80"/>
              <w:right w:type="dxa" w:w="100"/>
            </w:tcMar>
            <w:vAlign w:val="center"/>
          </w:tcPr>
          <w:p>
            <w:r>
              <w:rPr>
                <w:b w:val="false"/>
                <w:bCs w:val="false"/>
                <w:color w:val="1A1A1A"/>
                <w:sz w:val="19"/>
                <w:szCs w:val="19"/>
              </w:rPr>
              <w:t xml:space="preserve">Saisie terrain (mobile) des actes, constantes, transmissions ; alertes</w:t>
            </w:r>
          </w:p>
        </w:tc>
      </w:tr>
      <w:tr>
        <w:tc>
          <w:tcPr>
            <w:tcW w:type="dxa" w:w="1300"/>
            <w:shd w:fill="F2F2E9" w:val="clear"/>
            <w:tcMar>
              <w:top w:type="dxa" w:w="80"/>
              <w:left w:type="dxa" w:w="100"/>
              <w:bottom w:type="dxa" w:w="80"/>
              <w:right w:type="dxa" w:w="100"/>
            </w:tcMar>
            <w:vAlign w:val="center"/>
          </w:tcPr>
          <w:p>
            <w:r>
              <w:rPr>
                <w:b w:val="false"/>
                <w:bCs w:val="false"/>
                <w:color w:val="1A1A1A"/>
                <w:sz w:val="19"/>
                <w:szCs w:val="19"/>
              </w:rPr>
              <w:t xml:space="preserve">M4</w:t>
            </w:r>
          </w:p>
        </w:tc>
        <w:tc>
          <w:tcPr>
            <w:tcW w:type="dxa" w:w="4200"/>
            <w:shd w:fill="F2F2E9" w:val="clear"/>
            <w:tcMar>
              <w:top w:type="dxa" w:w="80"/>
              <w:left w:type="dxa" w:w="100"/>
              <w:bottom w:type="dxa" w:w="80"/>
              <w:right w:type="dxa" w:w="100"/>
            </w:tcMar>
            <w:vAlign w:val="center"/>
          </w:tcPr>
          <w:p>
            <w:r>
              <w:rPr>
                <w:b w:val="false"/>
                <w:bCs w:val="false"/>
                <w:color w:val="1A1A1A"/>
                <w:sz w:val="19"/>
                <w:szCs w:val="19"/>
              </w:rPr>
              <w:t xml:space="preserve">Équipe, Formation &amp; Habilitations</w:t>
            </w:r>
          </w:p>
        </w:tc>
        <w:tc>
          <w:tcPr>
            <w:tcW w:type="dxa" w:w="3500"/>
            <w:shd w:fill="F2F2E9" w:val="clear"/>
            <w:tcMar>
              <w:top w:type="dxa" w:w="80"/>
              <w:left w:type="dxa" w:w="100"/>
              <w:bottom w:type="dxa" w:w="80"/>
              <w:right w:type="dxa" w:w="100"/>
            </w:tcMar>
            <w:vAlign w:val="center"/>
          </w:tcPr>
          <w:p>
            <w:r>
              <w:rPr>
                <w:b w:val="false"/>
                <w:bCs w:val="false"/>
                <w:color w:val="1A1A1A"/>
                <w:sz w:val="19"/>
                <w:szCs w:val="19"/>
              </w:rPr>
              <w:t xml:space="preserve">Annuaire des +100 professionnels, formation initiale et continue (trimestrielle)</w:t>
            </w:r>
          </w:p>
        </w:tc>
      </w:tr>
      <w:tr>
        <w:tc>
          <w:tcPr>
            <w:tcW w:type="dxa" w:w="1300"/>
            <w:shd w:fill="FFFFFF" w:val="clear"/>
            <w:tcMar>
              <w:top w:type="dxa" w:w="80"/>
              <w:left w:type="dxa" w:w="100"/>
              <w:bottom w:type="dxa" w:w="80"/>
              <w:right w:type="dxa" w:w="100"/>
            </w:tcMar>
            <w:vAlign w:val="center"/>
          </w:tcPr>
          <w:p>
            <w:r>
              <w:rPr>
                <w:b w:val="false"/>
                <w:bCs w:val="false"/>
                <w:color w:val="1A1A1A"/>
                <w:sz w:val="19"/>
                <w:szCs w:val="19"/>
              </w:rPr>
              <w:t xml:space="preserve">M5</w:t>
            </w:r>
          </w:p>
        </w:tc>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Santé au Travail (B2B)</w:t>
            </w:r>
          </w:p>
        </w:tc>
        <w:tc>
          <w:tcPr>
            <w:tcW w:type="dxa" w:w="3500"/>
            <w:shd w:fill="FFFFFF" w:val="clear"/>
            <w:tcMar>
              <w:top w:type="dxa" w:w="80"/>
              <w:left w:type="dxa" w:w="100"/>
              <w:bottom w:type="dxa" w:w="80"/>
              <w:right w:type="dxa" w:w="100"/>
            </w:tcMar>
            <w:vAlign w:val="center"/>
          </w:tcPr>
          <w:p>
            <w:r>
              <w:rPr>
                <w:b w:val="false"/>
                <w:bCs w:val="false"/>
                <w:color w:val="1A1A1A"/>
                <w:sz w:val="19"/>
                <w:szCs w:val="19"/>
              </w:rPr>
              <w:t xml:space="preserve">Gestion des entreprises clientes, visites médicales, CSST, document unique, campagnes</w:t>
            </w:r>
          </w:p>
        </w:tc>
      </w:tr>
      <w:tr>
        <w:tc>
          <w:tcPr>
            <w:tcW w:type="dxa" w:w="1300"/>
            <w:shd w:fill="F2F2E9" w:val="clear"/>
            <w:tcMar>
              <w:top w:type="dxa" w:w="80"/>
              <w:left w:type="dxa" w:w="100"/>
              <w:bottom w:type="dxa" w:w="80"/>
              <w:right w:type="dxa" w:w="100"/>
            </w:tcMar>
            <w:vAlign w:val="center"/>
          </w:tcPr>
          <w:p>
            <w:r>
              <w:rPr>
                <w:b w:val="false"/>
                <w:bCs w:val="false"/>
                <w:color w:val="1A1A1A"/>
                <w:sz w:val="19"/>
                <w:szCs w:val="19"/>
              </w:rPr>
              <w:t xml:space="preserve">M6</w:t>
            </w:r>
          </w:p>
        </w:tc>
        <w:tc>
          <w:tcPr>
            <w:tcW w:type="dxa" w:w="4200"/>
            <w:shd w:fill="F2F2E9" w:val="clear"/>
            <w:tcMar>
              <w:top w:type="dxa" w:w="80"/>
              <w:left w:type="dxa" w:w="100"/>
              <w:bottom w:type="dxa" w:w="80"/>
              <w:right w:type="dxa" w:w="100"/>
            </w:tcMar>
            <w:vAlign w:val="center"/>
          </w:tcPr>
          <w:p>
            <w:r>
              <w:rPr>
                <w:b w:val="false"/>
                <w:bCs w:val="false"/>
                <w:color w:val="1A1A1A"/>
                <w:sz w:val="19"/>
                <w:szCs w:val="19"/>
              </w:rPr>
              <w:t xml:space="preserve">Facturation &amp; Finances</w:t>
            </w:r>
          </w:p>
        </w:tc>
        <w:tc>
          <w:tcPr>
            <w:tcW w:type="dxa" w:w="3500"/>
            <w:shd w:fill="F2F2E9" w:val="clear"/>
            <w:tcMar>
              <w:top w:type="dxa" w:w="80"/>
              <w:left w:type="dxa" w:w="100"/>
              <w:bottom w:type="dxa" w:w="80"/>
              <w:right w:type="dxa" w:w="100"/>
            </w:tcMar>
            <w:vAlign w:val="center"/>
          </w:tcPr>
          <w:p>
            <w:r>
              <w:rPr>
                <w:b w:val="false"/>
                <w:bCs w:val="false"/>
                <w:color w:val="1A1A1A"/>
                <w:sz w:val="19"/>
                <w:szCs w:val="19"/>
              </w:rPr>
              <w:t xml:space="preserve">Facturation patients / familles / assurances / entreprises, suivi des règlements</w:t>
            </w:r>
          </w:p>
        </w:tc>
      </w:tr>
      <w:tr>
        <w:tc>
          <w:tcPr>
            <w:tcW w:type="dxa" w:w="1300"/>
            <w:shd w:fill="FFFFFF" w:val="clear"/>
            <w:tcMar>
              <w:top w:type="dxa" w:w="80"/>
              <w:left w:type="dxa" w:w="100"/>
              <w:bottom w:type="dxa" w:w="80"/>
              <w:right w:type="dxa" w:w="100"/>
            </w:tcMar>
            <w:vAlign w:val="center"/>
          </w:tcPr>
          <w:p>
            <w:r>
              <w:rPr>
                <w:b w:val="false"/>
                <w:bCs w:val="false"/>
                <w:color w:val="1A1A1A"/>
                <w:sz w:val="19"/>
                <w:szCs w:val="19"/>
              </w:rPr>
              <w:t xml:space="preserve">M7</w:t>
            </w:r>
          </w:p>
        </w:tc>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Qualité &amp; Indicateurs (SMQ)</w:t>
            </w:r>
          </w:p>
        </w:tc>
        <w:tc>
          <w:tcPr>
            <w:tcW w:type="dxa" w:w="3500"/>
            <w:shd w:fill="FFFFFF" w:val="clear"/>
            <w:tcMar>
              <w:top w:type="dxa" w:w="80"/>
              <w:left w:type="dxa" w:w="100"/>
              <w:bottom w:type="dxa" w:w="80"/>
              <w:right w:type="dxa" w:w="100"/>
            </w:tcMar>
            <w:vAlign w:val="center"/>
          </w:tcPr>
          <w:p>
            <w:r>
              <w:rPr>
                <w:b w:val="false"/>
                <w:bCs w:val="false"/>
                <w:color w:val="1A1A1A"/>
                <w:sz w:val="19"/>
                <w:szCs w:val="19"/>
              </w:rPr>
              <w:t xml:space="preserve">Suivi des objectifs court/moyen/long terme, tableaux de bord PQ-GQ-001</w:t>
            </w:r>
          </w:p>
        </w:tc>
      </w:tr>
      <w:tr>
        <w:tc>
          <w:tcPr>
            <w:tcW w:type="dxa" w:w="1300"/>
            <w:shd w:fill="F2F2E9" w:val="clear"/>
            <w:tcMar>
              <w:top w:type="dxa" w:w="80"/>
              <w:left w:type="dxa" w:w="100"/>
              <w:bottom w:type="dxa" w:w="80"/>
              <w:right w:type="dxa" w:w="100"/>
            </w:tcMar>
            <w:vAlign w:val="center"/>
          </w:tcPr>
          <w:p>
            <w:r>
              <w:rPr>
                <w:b w:val="false"/>
                <w:bCs w:val="false"/>
                <w:color w:val="1A1A1A"/>
                <w:sz w:val="19"/>
                <w:szCs w:val="19"/>
              </w:rPr>
              <w:t xml:space="preserve">M8</w:t>
            </w:r>
          </w:p>
        </w:tc>
        <w:tc>
          <w:tcPr>
            <w:tcW w:type="dxa" w:w="4200"/>
            <w:shd w:fill="F2F2E9" w:val="clear"/>
            <w:tcMar>
              <w:top w:type="dxa" w:w="80"/>
              <w:left w:type="dxa" w:w="100"/>
              <w:bottom w:type="dxa" w:w="80"/>
              <w:right w:type="dxa" w:w="100"/>
            </w:tcMar>
            <w:vAlign w:val="center"/>
          </w:tcPr>
          <w:p>
            <w:r>
              <w:rPr>
                <w:b w:val="false"/>
                <w:bCs w:val="false"/>
                <w:color w:val="1A1A1A"/>
                <w:sz w:val="19"/>
                <w:szCs w:val="19"/>
              </w:rPr>
              <w:t xml:space="preserve">Urgences &amp; Surveillance 24h/24</w:t>
            </w:r>
          </w:p>
        </w:tc>
        <w:tc>
          <w:tcPr>
            <w:tcW w:type="dxa" w:w="3500"/>
            <w:shd w:fill="F2F2E9" w:val="clear"/>
            <w:tcMar>
              <w:top w:type="dxa" w:w="80"/>
              <w:left w:type="dxa" w:w="100"/>
              <w:bottom w:type="dxa" w:w="80"/>
              <w:right w:type="dxa" w:w="100"/>
            </w:tcMar>
            <w:vAlign w:val="center"/>
          </w:tcPr>
          <w:p>
            <w:r>
              <w:rPr>
                <w:b w:val="false"/>
                <w:bCs w:val="false"/>
                <w:color w:val="1A1A1A"/>
                <w:sz w:val="19"/>
                <w:szCs w:val="19"/>
              </w:rPr>
              <w:t xml:space="preserve">Déclenchement "Vite et Bien", astreintes, dispositif nomade d'appel d'urgence</w:t>
            </w:r>
          </w:p>
        </w:tc>
      </w:tr>
      <w:tr>
        <w:tc>
          <w:tcPr>
            <w:tcW w:type="dxa" w:w="1300"/>
            <w:shd w:fill="FFFFFF" w:val="clear"/>
            <w:tcMar>
              <w:top w:type="dxa" w:w="80"/>
              <w:left w:type="dxa" w:w="100"/>
              <w:bottom w:type="dxa" w:w="80"/>
              <w:right w:type="dxa" w:w="100"/>
            </w:tcMar>
            <w:vAlign w:val="center"/>
          </w:tcPr>
          <w:p>
            <w:r>
              <w:rPr>
                <w:b w:val="false"/>
                <w:bCs w:val="false"/>
                <w:color w:val="1A1A1A"/>
                <w:sz w:val="19"/>
                <w:szCs w:val="19"/>
              </w:rPr>
              <w:t xml:space="preserve">M9</w:t>
            </w:r>
          </w:p>
        </w:tc>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Portail Direction &amp; Back-office</w:t>
            </w:r>
          </w:p>
        </w:tc>
        <w:tc>
          <w:tcPr>
            <w:tcW w:type="dxa" w:w="3500"/>
            <w:shd w:fill="FFFFFF" w:val="clear"/>
            <w:tcMar>
              <w:top w:type="dxa" w:w="80"/>
              <w:left w:type="dxa" w:w="100"/>
              <w:bottom w:type="dxa" w:w="80"/>
              <w:right w:type="dxa" w:w="100"/>
            </w:tcMar>
            <w:vAlign w:val="center"/>
          </w:tcPr>
          <w:p>
            <w:r>
              <w:rPr>
                <w:b w:val="false"/>
                <w:bCs w:val="false"/>
                <w:color w:val="1A1A1A"/>
                <w:sz w:val="19"/>
                <w:szCs w:val="19"/>
              </w:rPr>
              <w:t xml:space="preserve">Vue consolidée multi-établissements, gestion des droits, paramétrage</w:t>
            </w:r>
          </w:p>
        </w:tc>
      </w:tr>
    </w:tbl>
    <w:p>
      <w:pPr>
        <w:pStyle w:val="Heading1"/>
        <w:pBdr>
          <w:bottom w:val="single" w:color="3D5A1E" w:sz="8" w:space="4"/>
        </w:pBdr>
        <w:spacing w:after="200" w:before="400"/>
      </w:pPr>
      <w:r>
        <w:rPr>
          <w:b/>
          <w:bCs/>
          <w:color w:val="3D5A1E"/>
          <w:sz w:val="30"/>
          <w:szCs w:val="30"/>
        </w:rPr>
        <w:t xml:space="preserve">4.  </w:t>
      </w:r>
      <w:r>
        <w:rPr>
          <w:b/>
          <w:bCs/>
          <w:color w:val="3D5A1E"/>
          <w:sz w:val="30"/>
          <w:szCs w:val="30"/>
        </w:rPr>
        <w:t xml:space="preserve">Spécifications détaillées par module</w:t>
      </w:r>
    </w:p>
    <w:p>
      <w:pPr>
        <w:pStyle w:val="Heading2"/>
        <w:spacing w:after="120" w:before="260"/>
      </w:pPr>
      <w:r>
        <w:rPr>
          <w:b/>
          <w:bCs/>
          <w:color w:val="6B8E23"/>
          <w:sz w:val="24"/>
          <w:szCs w:val="24"/>
        </w:rPr>
        <w:t xml:space="preserve">M1 — Dossier Patient &amp; Admission HAD</w:t>
      </w:r>
    </w:p>
    <w:p>
      <w:pPr>
        <w:pStyle w:val="ListParagraph"/>
        <w:numPr>
          <w:ilvl w:val="0"/>
          <w:numId w:val="2"/>
        </w:numPr>
        <w:spacing w:after="60"/>
      </w:pPr>
      <w:r>
        <w:rPr>
          <w:sz w:val="21"/>
          <w:szCs w:val="21"/>
        </w:rPr>
        <w:t xml:space="preserve">Fiche patient : identité, contact famille/aidant, antécédents, pathologie, allergies, médecin traitant.</w:t>
      </w:r>
    </w:p>
    <w:p>
      <w:pPr>
        <w:pStyle w:val="ListParagraph"/>
        <w:numPr>
          <w:ilvl w:val="0"/>
          <w:numId w:val="2"/>
        </w:numPr>
        <w:spacing w:after="60"/>
      </w:pPr>
      <w:r>
        <w:rPr>
          <w:sz w:val="21"/>
          <w:szCs w:val="21"/>
        </w:rPr>
        <w:t xml:space="preserve">Suivi du parcours d'admission en 4 étapes, avec statut, date, responsable et pièces jointes à chaque étape : (1) évaluation médicale à domicile, (2) démarche infirmière / protocole de soins personnalisé, (3) étude ergonomique de la chambre, (4) coordination continue pluridisciplinaire.</w:t>
      </w:r>
    </w:p>
    <w:p>
      <w:pPr>
        <w:pStyle w:val="ListParagraph"/>
        <w:numPr>
          <w:ilvl w:val="0"/>
          <w:numId w:val="2"/>
        </w:numPr>
        <w:spacing w:after="60"/>
      </w:pPr>
      <w:r>
        <w:rPr>
          <w:sz w:val="21"/>
          <w:szCs w:val="21"/>
        </w:rPr>
        <w:t xml:space="preserve">Plan de soins personnalisé lié au protocole établi à l'étape 2, révisable dans le temps.</w:t>
      </w:r>
    </w:p>
    <w:p>
      <w:pPr>
        <w:pStyle w:val="ListParagraph"/>
        <w:numPr>
          <w:ilvl w:val="0"/>
          <w:numId w:val="2"/>
        </w:numPr>
        <w:spacing w:after="60"/>
      </w:pPr>
      <w:r>
        <w:rPr>
          <w:sz w:val="21"/>
          <w:szCs w:val="21"/>
        </w:rPr>
        <w:t xml:space="preserve">Historique complet du séjour et export du dossier médical support (PDF).</w:t>
      </w:r>
    </w:p>
    <w:p>
      <w:pPr>
        <w:pStyle w:val="Heading2"/>
        <w:spacing w:after="120" w:before="260"/>
      </w:pPr>
      <w:r>
        <w:rPr>
          <w:b/>
          <w:bCs/>
          <w:color w:val="6B8E23"/>
          <w:sz w:val="24"/>
          <w:szCs w:val="24"/>
        </w:rPr>
        <w:t xml:space="preserve">M2 — Planning &amp; Interventions</w:t>
      </w:r>
    </w:p>
    <w:p>
      <w:pPr>
        <w:pStyle w:val="ListParagraph"/>
        <w:numPr>
          <w:ilvl w:val="0"/>
          <w:numId w:val="2"/>
        </w:numPr>
        <w:spacing w:after="60"/>
      </w:pPr>
      <w:r>
        <w:rPr>
          <w:sz w:val="21"/>
          <w:szCs w:val="21"/>
        </w:rPr>
        <w:t xml:space="preserve">Vue planning par jour / semaine, filtrable par intervenant, patient ou l'un des 10 services (soins, auxiliaire de vie, aide-ménagère, urgence, surveillance, repas, garde d'enfants, réadaptation, addictologie, santé au travail).</w:t>
      </w:r>
    </w:p>
    <w:p>
      <w:pPr>
        <w:pStyle w:val="ListParagraph"/>
        <w:numPr>
          <w:ilvl w:val="0"/>
          <w:numId w:val="2"/>
        </w:numPr>
        <w:spacing w:after="60"/>
      </w:pPr>
      <w:r>
        <w:rPr>
          <w:sz w:val="21"/>
          <w:szCs w:val="21"/>
        </w:rPr>
        <w:t xml:space="preserve">Affectation des intervenants disponibles selon spécialité et zone géographique.</w:t>
      </w:r>
    </w:p>
    <w:p>
      <w:pPr>
        <w:pStyle w:val="ListParagraph"/>
        <w:numPr>
          <w:ilvl w:val="0"/>
          <w:numId w:val="2"/>
        </w:numPr>
        <w:spacing w:after="60"/>
      </w:pPr>
      <w:r>
        <w:rPr>
          <w:sz w:val="21"/>
          <w:szCs w:val="21"/>
        </w:rPr>
        <w:t xml:space="preserve">Statuts d'intervention : planifiée, en cours, réalisée, annulée, incident.</w:t>
      </w:r>
    </w:p>
    <w:p>
      <w:pPr>
        <w:pStyle w:val="ListParagraph"/>
        <w:numPr>
          <w:ilvl w:val="0"/>
          <w:numId w:val="2"/>
        </w:numPr>
        <w:spacing w:after="60"/>
      </w:pPr>
      <w:r>
        <w:rPr>
          <w:sz w:val="21"/>
          <w:szCs w:val="21"/>
        </w:rPr>
        <w:t xml:space="preserve">Gestion des deux menus repas à domicile (classique / diététique : sans sel, sans sucre, mixé).</w:t>
      </w:r>
    </w:p>
    <w:p>
      <w:pPr>
        <w:pStyle w:val="Heading2"/>
        <w:spacing w:after="120" w:before="260"/>
      </w:pPr>
      <w:r>
        <w:rPr>
          <w:b/>
          <w:bCs/>
          <w:color w:val="6B8E23"/>
          <w:sz w:val="24"/>
          <w:szCs w:val="24"/>
        </w:rPr>
        <w:t xml:space="preserve">M3 — Reporting journalier &amp; Dossier de soins</w:t>
      </w:r>
    </w:p>
    <w:p>
      <w:pPr>
        <w:pStyle w:val="ListParagraph"/>
        <w:numPr>
          <w:ilvl w:val="0"/>
          <w:numId w:val="2"/>
        </w:numPr>
        <w:spacing w:after="60"/>
      </w:pPr>
      <w:r>
        <w:rPr>
          <w:sz w:val="21"/>
          <w:szCs w:val="21"/>
        </w:rPr>
        <w:t xml:space="preserve">Application mobile (mode connecté / déconnecté avec synchronisation différée) pour la saisie terrain par les infirmiers et aides-soignants.</w:t>
      </w:r>
    </w:p>
    <w:p>
      <w:pPr>
        <w:pStyle w:val="ListParagraph"/>
        <w:numPr>
          <w:ilvl w:val="0"/>
          <w:numId w:val="2"/>
        </w:numPr>
        <w:spacing w:after="60"/>
      </w:pPr>
      <w:r>
        <w:rPr>
          <w:sz w:val="21"/>
          <w:szCs w:val="21"/>
        </w:rPr>
        <w:t xml:space="preserve">Saisie des actes réalisés, constantes vitales, observations, incidents (chute, malaise) et alerte immédiate à la coordination.</w:t>
      </w:r>
    </w:p>
    <w:p>
      <w:pPr>
        <w:pStyle w:val="ListParagraph"/>
        <w:numPr>
          <w:ilvl w:val="0"/>
          <w:numId w:val="2"/>
        </w:numPr>
        <w:spacing w:after="60"/>
      </w:pPr>
      <w:r>
        <w:rPr>
          <w:sz w:val="21"/>
          <w:szCs w:val="21"/>
        </w:rPr>
        <w:t xml:space="preserve">Traçabilité de la valise médicalisée (contenu, réapprovisionnement).</w:t>
      </w:r>
    </w:p>
    <w:p>
      <w:pPr>
        <w:pStyle w:val="ListParagraph"/>
        <w:numPr>
          <w:ilvl w:val="0"/>
          <w:numId w:val="2"/>
        </w:numPr>
        <w:spacing w:after="60"/>
      </w:pPr>
      <w:r>
        <w:rPr>
          <w:sz w:val="21"/>
          <w:szCs w:val="21"/>
        </w:rPr>
        <w:t xml:space="preserve">Signature ou validation numérique de l'intervenant à chaque passage.</w:t>
      </w:r>
    </w:p>
    <w:p>
      <w:pPr>
        <w:pStyle w:val="Heading2"/>
        <w:spacing w:after="120" w:before="260"/>
      </w:pPr>
      <w:r>
        <w:rPr>
          <w:b/>
          <w:bCs/>
          <w:color w:val="6B8E23"/>
          <w:sz w:val="24"/>
          <w:szCs w:val="24"/>
        </w:rPr>
        <w:t xml:space="preserve">M4 — Équipe, Formation &amp; Habilitations</w:t>
      </w:r>
    </w:p>
    <w:p>
      <w:pPr>
        <w:pStyle w:val="ListParagraph"/>
        <w:numPr>
          <w:ilvl w:val="0"/>
          <w:numId w:val="2"/>
        </w:numPr>
        <w:spacing w:after="60"/>
      </w:pPr>
      <w:r>
        <w:rPr>
          <w:sz w:val="21"/>
          <w:szCs w:val="21"/>
        </w:rPr>
        <w:t xml:space="preserve">Annuaire des intervenants (médecins, infirmiers, aides-soignants, kinésithérapeutes, ergothérapeutes, diététiciens, orthophonistes, assistants sociaux, auxiliaires de vie, aides ménagers, partenaires yoga/coiffure).</w:t>
      </w:r>
    </w:p>
    <w:p>
      <w:pPr>
        <w:pStyle w:val="ListParagraph"/>
        <w:numPr>
          <w:ilvl w:val="0"/>
          <w:numId w:val="2"/>
        </w:numPr>
        <w:spacing w:after="60"/>
      </w:pPr>
      <w:r>
        <w:rPr>
          <w:sz w:val="21"/>
          <w:szCs w:val="21"/>
        </w:rPr>
        <w:t xml:space="preserve">Suivi des formations : formation initiale à l'embauche, renforcement de capacités trimestriel, thématiques abordées (hygiène hospitalière, gestes de secours, soins infirmiers…).</w:t>
      </w:r>
    </w:p>
    <w:p>
      <w:pPr>
        <w:pStyle w:val="ListParagraph"/>
        <w:numPr>
          <w:ilvl w:val="0"/>
          <w:numId w:val="2"/>
        </w:numPr>
        <w:spacing w:after="60"/>
      </w:pPr>
      <w:r>
        <w:rPr>
          <w:sz w:val="21"/>
          <w:szCs w:val="21"/>
        </w:rPr>
        <w:t xml:space="preserve">Alertes de renouvellement de formation / habilitation arrivant à échéance.</w:t>
      </w:r>
    </w:p>
    <w:p>
      <w:pPr>
        <w:pStyle w:val="ListParagraph"/>
        <w:numPr>
          <w:ilvl w:val="0"/>
          <w:numId w:val="2"/>
        </w:numPr>
        <w:spacing w:after="60"/>
      </w:pPr>
      <w:r>
        <w:rPr>
          <w:sz w:val="21"/>
          <w:szCs w:val="21"/>
        </w:rPr>
        <w:t xml:space="preserve">Disponibilités et charge de travail par intervenant, base du module Planning (M2).</w:t>
      </w:r>
    </w:p>
    <w:p>
      <w:pPr>
        <w:pStyle w:val="Heading2"/>
        <w:spacing w:after="120" w:before="260"/>
      </w:pPr>
      <w:r>
        <w:rPr>
          <w:b/>
          <w:bCs/>
          <w:color w:val="6B8E23"/>
          <w:sz w:val="24"/>
          <w:szCs w:val="24"/>
        </w:rPr>
        <w:t xml:space="preserve">M5 — Santé au Travail (B2B)</w:t>
      </w:r>
    </w:p>
    <w:p>
      <w:pPr>
        <w:pStyle w:val="ListParagraph"/>
        <w:numPr>
          <w:ilvl w:val="0"/>
          <w:numId w:val="2"/>
        </w:numPr>
        <w:spacing w:after="60"/>
      </w:pPr>
      <w:r>
        <w:rPr>
          <w:sz w:val="21"/>
          <w:szCs w:val="21"/>
        </w:rPr>
        <w:t xml:space="preserve">Fiche entreprise cliente : effectifs, secteur, contrat, périodicité des visites.</w:t>
      </w:r>
    </w:p>
    <w:p>
      <w:pPr>
        <w:pStyle w:val="ListParagraph"/>
        <w:numPr>
          <w:ilvl w:val="0"/>
          <w:numId w:val="2"/>
        </w:numPr>
        <w:spacing w:after="60"/>
      </w:pPr>
      <w:r>
        <w:rPr>
          <w:sz w:val="21"/>
          <w:szCs w:val="21"/>
        </w:rPr>
        <w:t xml:space="preserve">Planification des visites médicales réglementaires et suivi des CSST (Comités de Sécurité et de Santé au Travail).</w:t>
      </w:r>
    </w:p>
    <w:p>
      <w:pPr>
        <w:pStyle w:val="ListParagraph"/>
        <w:numPr>
          <w:ilvl w:val="0"/>
          <w:numId w:val="2"/>
        </w:numPr>
        <w:spacing w:after="60"/>
      </w:pPr>
      <w:r>
        <w:rPr>
          <w:sz w:val="21"/>
          <w:szCs w:val="21"/>
        </w:rPr>
        <w:t xml:space="preserve">Document unique d'évaluation des risques : création, mise à jour, historique de versions.</w:t>
      </w:r>
    </w:p>
    <w:p>
      <w:pPr>
        <w:pStyle w:val="ListParagraph"/>
        <w:numPr>
          <w:ilvl w:val="0"/>
          <w:numId w:val="2"/>
        </w:numPr>
        <w:spacing w:after="60"/>
      </w:pPr>
      <w:r>
        <w:rPr>
          <w:sz w:val="21"/>
          <w:szCs w:val="21"/>
        </w:rPr>
        <w:t xml:space="preserve">Campagnes de dépistage, sensibilisation et audits, avec compte-rendu et indicateurs de résultat (objectif SMQ : passer du "one-shot" à l'accompagnement continu).</w:t>
      </w:r>
    </w:p>
    <w:p>
      <w:pPr>
        <w:pStyle w:val="Heading2"/>
        <w:spacing w:after="120" w:before="260"/>
      </w:pPr>
      <w:r>
        <w:rPr>
          <w:b/>
          <w:bCs/>
          <w:color w:val="6B8E23"/>
          <w:sz w:val="24"/>
          <w:szCs w:val="24"/>
        </w:rPr>
        <w:t xml:space="preserve">M6 — Facturation &amp; Finances</w:t>
      </w:r>
    </w:p>
    <w:p>
      <w:pPr>
        <w:pStyle w:val="ListParagraph"/>
        <w:numPr>
          <w:ilvl w:val="0"/>
          <w:numId w:val="2"/>
        </w:numPr>
        <w:spacing w:after="60"/>
      </w:pPr>
      <w:r>
        <w:rPr>
          <w:sz w:val="21"/>
          <w:szCs w:val="21"/>
        </w:rPr>
        <w:t xml:space="preserve">Génération de factures patients / familles, entreprises clientes santé au travail et, le cas échéant, assurances.</w:t>
      </w:r>
    </w:p>
    <w:p>
      <w:pPr>
        <w:pStyle w:val="ListParagraph"/>
        <w:numPr>
          <w:ilvl w:val="0"/>
          <w:numId w:val="2"/>
        </w:numPr>
        <w:spacing w:after="60"/>
      </w:pPr>
      <w:r>
        <w:rPr>
          <w:sz w:val="21"/>
          <w:szCs w:val="21"/>
        </w:rPr>
        <w:t xml:space="preserve">Suivi des règlements, relances, échéanciers.</w:t>
      </w:r>
    </w:p>
    <w:p>
      <w:pPr>
        <w:pStyle w:val="ListParagraph"/>
        <w:numPr>
          <w:ilvl w:val="0"/>
          <w:numId w:val="2"/>
        </w:numPr>
        <w:spacing w:after="60"/>
      </w:pPr>
      <w:r>
        <w:rPr>
          <w:sz w:val="21"/>
          <w:szCs w:val="21"/>
        </w:rPr>
        <w:t xml:space="preserve">Tableau de bord chiffre d'affaires par domaine d'intervention (les 10 services) et par entreprise cliente.</w:t>
      </w:r>
    </w:p>
    <w:p>
      <w:pPr>
        <w:pStyle w:val="Heading2"/>
        <w:spacing w:after="120" w:before="260"/>
      </w:pPr>
      <w:r>
        <w:rPr>
          <w:b/>
          <w:bCs/>
          <w:color w:val="6B8E23"/>
          <w:sz w:val="24"/>
          <w:szCs w:val="24"/>
        </w:rPr>
        <w:t xml:space="preserve">M7 — Qualité &amp; Indicateurs (SMQ)</w:t>
      </w:r>
    </w:p>
    <w:p>
      <w:pPr>
        <w:pStyle w:val="ListParagraph"/>
        <w:numPr>
          <w:ilvl w:val="0"/>
          <w:numId w:val="2"/>
        </w:numPr>
        <w:spacing w:after="60"/>
      </w:pPr>
      <w:r>
        <w:rPr>
          <w:sz w:val="21"/>
          <w:szCs w:val="21"/>
        </w:rPr>
        <w:t xml:space="preserve">Suivi des 4 axes stratégiques (satisfaction client, modernisation de la gestion, développement du capital humain, développement durable).</w:t>
      </w:r>
    </w:p>
    <w:p>
      <w:pPr>
        <w:pStyle w:val="ListParagraph"/>
        <w:numPr>
          <w:ilvl w:val="0"/>
          <w:numId w:val="2"/>
        </w:numPr>
        <w:spacing w:after="60"/>
      </w:pPr>
      <w:r>
        <w:rPr>
          <w:sz w:val="21"/>
          <w:szCs w:val="21"/>
        </w:rPr>
        <w:t xml:space="preserve">Suivi des objectifs court / moyen / long terme définis pour HAD et Santé au Travail, avec statut d'avancement.</w:t>
      </w:r>
    </w:p>
    <w:p>
      <w:pPr>
        <w:pStyle w:val="ListParagraph"/>
        <w:numPr>
          <w:ilvl w:val="0"/>
          <w:numId w:val="2"/>
        </w:numPr>
        <w:spacing w:after="60"/>
      </w:pPr>
      <w:r>
        <w:rPr>
          <w:sz w:val="21"/>
          <w:szCs w:val="21"/>
        </w:rPr>
        <w:t xml:space="preserve">Enquêtes de satisfaction patients / entreprises et calcul d'indicateurs qualité.</w:t>
      </w:r>
    </w:p>
    <w:p>
      <w:pPr>
        <w:pStyle w:val="Heading2"/>
        <w:spacing w:after="120" w:before="260"/>
      </w:pPr>
      <w:r>
        <w:rPr>
          <w:b/>
          <w:bCs/>
          <w:color w:val="6B8E23"/>
          <w:sz w:val="24"/>
          <w:szCs w:val="24"/>
        </w:rPr>
        <w:t xml:space="preserve">M8 — Urgences &amp; Surveillance 24h/24</w:t>
      </w:r>
    </w:p>
    <w:p>
      <w:pPr>
        <w:pStyle w:val="ListParagraph"/>
        <w:numPr>
          <w:ilvl w:val="0"/>
          <w:numId w:val="2"/>
        </w:numPr>
        <w:spacing w:after="60"/>
      </w:pPr>
      <w:r>
        <w:rPr>
          <w:sz w:val="21"/>
          <w:szCs w:val="21"/>
        </w:rPr>
        <w:t xml:space="preserve">Déclenchement du service « Aide d'urgence Vite et Bien » avec prise en charge le jour même après une sortie d'hospitalisation.</w:t>
      </w:r>
    </w:p>
    <w:p>
      <w:pPr>
        <w:pStyle w:val="ListParagraph"/>
        <w:numPr>
          <w:ilvl w:val="0"/>
          <w:numId w:val="2"/>
        </w:numPr>
        <w:spacing w:after="60"/>
      </w:pPr>
      <w:r>
        <w:rPr>
          <w:sz w:val="21"/>
          <w:szCs w:val="21"/>
        </w:rPr>
        <w:t xml:space="preserve">Interface avec le dispositif nomade d'appel d'urgence (chute, malaise, intrusion, incendie, fuite de gaz) et système d'astreinte.</w:t>
      </w:r>
    </w:p>
    <w:p>
      <w:pPr>
        <w:pStyle w:val="Heading2"/>
        <w:spacing w:after="120" w:before="260"/>
      </w:pPr>
      <w:r>
        <w:rPr>
          <w:b/>
          <w:bCs/>
          <w:color w:val="6B8E23"/>
          <w:sz w:val="24"/>
          <w:szCs w:val="24"/>
        </w:rPr>
        <w:t xml:space="preserve">M9 — Portail Direction &amp; Back-office</w:t>
      </w:r>
    </w:p>
    <w:p>
      <w:pPr>
        <w:pStyle w:val="ListParagraph"/>
        <w:numPr>
          <w:ilvl w:val="0"/>
          <w:numId w:val="2"/>
        </w:numPr>
        <w:spacing w:after="60"/>
      </w:pPr>
      <w:r>
        <w:rPr>
          <w:sz w:val="21"/>
          <w:szCs w:val="21"/>
        </w:rPr>
        <w:t xml:space="preserve">Tableau de bord global : patients actifs, interventions du jour, taux d'occupation des équipes, chiffre d'affaires, alertes qualité.</w:t>
      </w:r>
    </w:p>
    <w:p>
      <w:pPr>
        <w:pStyle w:val="ListParagraph"/>
        <w:numPr>
          <w:ilvl w:val="0"/>
          <w:numId w:val="2"/>
        </w:numPr>
        <w:spacing w:after="60"/>
      </w:pPr>
      <w:r>
        <w:rPr>
          <w:sz w:val="21"/>
          <w:szCs w:val="21"/>
        </w:rPr>
        <w:t xml:space="preserve">Gestion des rôles et droits d'accès (voir section 6).</w:t>
      </w:r>
    </w:p>
    <w:p>
      <w:pPr>
        <w:pStyle w:val="ListParagraph"/>
        <w:numPr>
          <w:ilvl w:val="0"/>
          <w:numId w:val="2"/>
        </w:numPr>
        <w:spacing w:after="60"/>
      </w:pPr>
      <w:r>
        <w:rPr>
          <w:sz w:val="21"/>
          <w:szCs w:val="21"/>
        </w:rPr>
        <w:t xml:space="preserve">Paramétrage des services, zones d'intervention et tarifs.</w:t>
      </w:r>
    </w:p>
    <w:p>
      <w:r>
        <w:br w:type="page"/>
      </w:r>
    </w:p>
    <w:p>
      <w:pPr>
        <w:pStyle w:val="Heading1"/>
        <w:pBdr>
          <w:bottom w:val="single" w:color="3D5A1E" w:sz="8" w:space="4"/>
        </w:pBdr>
        <w:spacing w:after="200" w:before="400"/>
      </w:pPr>
      <w:r>
        <w:rPr>
          <w:b/>
          <w:bCs/>
          <w:color w:val="3D5A1E"/>
          <w:sz w:val="30"/>
          <w:szCs w:val="30"/>
        </w:rPr>
        <w:t xml:space="preserve">5.  </w:t>
      </w:r>
      <w:r>
        <w:rPr>
          <w:b/>
          <w:bCs/>
          <w:color w:val="3D5A1E"/>
          <w:sz w:val="30"/>
          <w:szCs w:val="30"/>
        </w:rPr>
        <w:t xml:space="preserve">Exigences non fonctionnelles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3D5A1E" w:val="clear"/>
            <w:tcMar>
              <w:top w:type="dxa" w:w="80"/>
              <w:left w:type="dxa" w:w="100"/>
              <w:bottom w:type="dxa" w:w="80"/>
              <w:right w:type="dxa" w:w="100"/>
            </w:tcMar>
            <w:vAlign w:val="center"/>
          </w:tcPr>
          <w:p>
            <w:r>
              <w:rPr>
                <w:b/>
                <w:bCs/>
                <w:color w:val="FFFFFF"/>
                <w:sz w:val="19"/>
                <w:szCs w:val="19"/>
              </w:rPr>
              <w:t xml:space="preserve">Exigence</w:t>
            </w:r>
          </w:p>
        </w:tc>
        <w:tc>
          <w:tcPr>
            <w:tcW w:type="dxa" w:w="6400"/>
            <w:shd w:fill="3D5A1E" w:val="clear"/>
            <w:tcMar>
              <w:top w:type="dxa" w:w="80"/>
              <w:left w:type="dxa" w:w="100"/>
              <w:bottom w:type="dxa" w:w="80"/>
              <w:right w:type="dxa" w:w="100"/>
            </w:tcMar>
            <w:vAlign w:val="center"/>
          </w:tcPr>
          <w:p>
            <w:r>
              <w:rPr>
                <w:b/>
                <w:bCs/>
                <w:color w:val="FFFFFF"/>
                <w:sz w:val="19"/>
                <w:szCs w:val="19"/>
              </w:rPr>
              <w:t xml:space="preserve">Détail</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Disponibilité</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Service continu 24h/24, 7j/7, 365j/an, cohérent avec l'activité de surveillance et d'urgence</w:t>
            </w:r>
          </w:p>
        </w:tc>
      </w:tr>
      <w:tr>
        <w:tc>
          <w:tcPr>
            <w:tcW w:type="dxa" w:w="2600"/>
            <w:shd w:fill="F2F2E9" w:val="clear"/>
            <w:tcMar>
              <w:top w:type="dxa" w:w="80"/>
              <w:left w:type="dxa" w:w="100"/>
              <w:bottom w:type="dxa" w:w="80"/>
              <w:right w:type="dxa" w:w="100"/>
            </w:tcMar>
            <w:vAlign w:val="center"/>
          </w:tcPr>
          <w:p>
            <w:r>
              <w:rPr>
                <w:b w:val="false"/>
                <w:bCs w:val="false"/>
                <w:color w:val="1A1A1A"/>
                <w:sz w:val="19"/>
                <w:szCs w:val="19"/>
              </w:rPr>
              <w:t xml:space="preserve">Sécurité des données de santé</w:t>
            </w:r>
          </w:p>
        </w:tc>
        <w:tc>
          <w:tcPr>
            <w:tcW w:type="dxa" w:w="6400"/>
            <w:shd w:fill="F2F2E9" w:val="clear"/>
            <w:tcMar>
              <w:top w:type="dxa" w:w="80"/>
              <w:left w:type="dxa" w:w="100"/>
              <w:bottom w:type="dxa" w:w="80"/>
              <w:right w:type="dxa" w:w="100"/>
            </w:tcMar>
            <w:vAlign w:val="center"/>
          </w:tcPr>
          <w:p>
            <w:r>
              <w:rPr>
                <w:b w:val="false"/>
                <w:bCs w:val="false"/>
                <w:color w:val="1A1A1A"/>
                <w:sz w:val="19"/>
                <w:szCs w:val="19"/>
              </w:rPr>
              <w:t xml:space="preserve">Chiffrement des données sensibles, authentification forte, journalisation des accès au dossier patient</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Confidentialité</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Accès au dossier patient restreint aux utilisateurs habilités selon leur rôle</w:t>
            </w:r>
          </w:p>
        </w:tc>
      </w:tr>
      <w:tr>
        <w:tc>
          <w:tcPr>
            <w:tcW w:type="dxa" w:w="2600"/>
            <w:shd w:fill="F2F2E9" w:val="clear"/>
            <w:tcMar>
              <w:top w:type="dxa" w:w="80"/>
              <w:left w:type="dxa" w:w="100"/>
              <w:bottom w:type="dxa" w:w="80"/>
              <w:right w:type="dxa" w:w="100"/>
            </w:tcMar>
            <w:vAlign w:val="center"/>
          </w:tcPr>
          <w:p>
            <w:r>
              <w:rPr>
                <w:b w:val="false"/>
                <w:bCs w:val="false"/>
                <w:color w:val="1A1A1A"/>
                <w:sz w:val="19"/>
                <w:szCs w:val="19"/>
              </w:rPr>
              <w:t xml:space="preserve">Mobilité</w:t>
            </w:r>
          </w:p>
        </w:tc>
        <w:tc>
          <w:tcPr>
            <w:tcW w:type="dxa" w:w="6400"/>
            <w:shd w:fill="F2F2E9" w:val="clear"/>
            <w:tcMar>
              <w:top w:type="dxa" w:w="80"/>
              <w:left w:type="dxa" w:w="100"/>
              <w:bottom w:type="dxa" w:w="80"/>
              <w:right w:type="dxa" w:w="100"/>
            </w:tcMar>
            <w:vAlign w:val="center"/>
          </w:tcPr>
          <w:p>
            <w:r>
              <w:rPr>
                <w:b w:val="false"/>
                <w:bCs w:val="false"/>
                <w:color w:val="1A1A1A"/>
                <w:sz w:val="19"/>
                <w:szCs w:val="19"/>
              </w:rPr>
              <w:t xml:space="preserve">Application mobile utilisable en mode déconnecté sur le terrain, synchronisation automatique au retour de réseau</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Multi-rôles</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12+ profils utilisateurs (direction, médecin, infirmier, auxiliaire de vie, aide-ménagère, coordination, RH/formation, facturation, entreprise cliente, patient/famille, admin)</w:t>
            </w:r>
          </w:p>
        </w:tc>
      </w:tr>
      <w:tr>
        <w:tc>
          <w:tcPr>
            <w:tcW w:type="dxa" w:w="2600"/>
            <w:shd w:fill="F2F2E9" w:val="clear"/>
            <w:tcMar>
              <w:top w:type="dxa" w:w="80"/>
              <w:left w:type="dxa" w:w="100"/>
              <w:bottom w:type="dxa" w:w="80"/>
              <w:right w:type="dxa" w:w="100"/>
            </w:tcMar>
            <w:vAlign w:val="center"/>
          </w:tcPr>
          <w:p>
            <w:r>
              <w:rPr>
                <w:b w:val="false"/>
                <w:bCs w:val="false"/>
                <w:color w:val="1A1A1A"/>
                <w:sz w:val="19"/>
                <w:szCs w:val="19"/>
              </w:rPr>
              <w:t xml:space="preserve">Interopérabilité</w:t>
            </w:r>
          </w:p>
        </w:tc>
        <w:tc>
          <w:tcPr>
            <w:tcW w:type="dxa" w:w="6400"/>
            <w:shd w:fill="F2F2E9" w:val="clear"/>
            <w:tcMar>
              <w:top w:type="dxa" w:w="80"/>
              <w:left w:type="dxa" w:w="100"/>
              <w:bottom w:type="dxa" w:w="80"/>
              <w:right w:type="dxa" w:w="100"/>
            </w:tcMar>
            <w:vAlign w:val="center"/>
          </w:tcPr>
          <w:p>
            <w:r>
              <w:rPr>
                <w:b w:val="false"/>
                <w:bCs w:val="false"/>
                <w:color w:val="1A1A1A"/>
                <w:sz w:val="19"/>
                <w:szCs w:val="19"/>
              </w:rPr>
              <w:t xml:space="preserve">Export PDF des dossiers, API ouverte pour interconnexion future (assurances, laboratoires)</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Langue</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Interface en français</w:t>
            </w:r>
          </w:p>
        </w:tc>
      </w:tr>
      <w:tr>
        <w:tc>
          <w:tcPr>
            <w:tcW w:type="dxa" w:w="2600"/>
            <w:shd w:fill="F2F2E9" w:val="clear"/>
            <w:tcMar>
              <w:top w:type="dxa" w:w="80"/>
              <w:left w:type="dxa" w:w="100"/>
              <w:bottom w:type="dxa" w:w="80"/>
              <w:right w:type="dxa" w:w="100"/>
            </w:tcMar>
            <w:vAlign w:val="center"/>
          </w:tcPr>
          <w:p>
            <w:r>
              <w:rPr>
                <w:b w:val="false"/>
                <w:bCs w:val="false"/>
                <w:color w:val="1A1A1A"/>
                <w:sz w:val="19"/>
                <w:szCs w:val="19"/>
              </w:rPr>
              <w:t xml:space="preserve">Performance</w:t>
            </w:r>
          </w:p>
        </w:tc>
        <w:tc>
          <w:tcPr>
            <w:tcW w:type="dxa" w:w="6400"/>
            <w:shd w:fill="F2F2E9" w:val="clear"/>
            <w:tcMar>
              <w:top w:type="dxa" w:w="80"/>
              <w:left w:type="dxa" w:w="100"/>
              <w:bottom w:type="dxa" w:w="80"/>
              <w:right w:type="dxa" w:w="100"/>
            </w:tcMar>
            <w:vAlign w:val="center"/>
          </w:tcPr>
          <w:p>
            <w:r>
              <w:rPr>
                <w:b w:val="false"/>
                <w:bCs w:val="false"/>
                <w:color w:val="1A1A1A"/>
                <w:sz w:val="19"/>
                <w:szCs w:val="19"/>
              </w:rPr>
              <w:t xml:space="preserve">Chargement du planning et du dossier patient en moins de 2 secondes</w:t>
            </w:r>
          </w:p>
        </w:tc>
      </w:tr>
    </w:tbl>
    <w:p>
      <w:pPr>
        <w:pStyle w:val="Heading1"/>
        <w:pBdr>
          <w:bottom w:val="single" w:color="3D5A1E" w:sz="8" w:space="4"/>
        </w:pBdr>
        <w:spacing w:after="200" w:before="400"/>
      </w:pPr>
      <w:r>
        <w:rPr>
          <w:b/>
          <w:bCs/>
          <w:color w:val="3D5A1E"/>
          <w:sz w:val="30"/>
          <w:szCs w:val="30"/>
        </w:rPr>
        <w:t xml:space="preserve">6.  </w:t>
      </w:r>
      <w:r>
        <w:rPr>
          <w:b/>
          <w:bCs/>
          <w:color w:val="3D5A1E"/>
          <w:sz w:val="30"/>
          <w:szCs w:val="30"/>
        </w:rPr>
        <w:t xml:space="preserve">Utilisateurs et droits d'accès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shd w:fill="3D5A1E" w:val="clear"/>
            <w:tcMar>
              <w:top w:type="dxa" w:w="80"/>
              <w:left w:type="dxa" w:w="100"/>
              <w:bottom w:type="dxa" w:w="80"/>
              <w:right w:type="dxa" w:w="100"/>
            </w:tcMar>
            <w:vAlign w:val="center"/>
          </w:tcPr>
          <w:p>
            <w:r>
              <w:rPr>
                <w:b/>
                <w:bCs/>
                <w:color w:val="FFFFFF"/>
                <w:sz w:val="19"/>
                <w:szCs w:val="19"/>
              </w:rPr>
              <w:t xml:space="preserve">Profil</w:t>
            </w:r>
          </w:p>
        </w:tc>
        <w:tc>
          <w:tcPr>
            <w:tcW w:type="dxa" w:w="3200"/>
            <w:shd w:fill="3D5A1E" w:val="clear"/>
            <w:tcMar>
              <w:top w:type="dxa" w:w="80"/>
              <w:left w:type="dxa" w:w="100"/>
              <w:bottom w:type="dxa" w:w="80"/>
              <w:right w:type="dxa" w:w="100"/>
            </w:tcMar>
            <w:vAlign w:val="center"/>
          </w:tcPr>
          <w:p>
            <w:r>
              <w:rPr>
                <w:b/>
                <w:bCs/>
                <w:color w:val="FFFFFF"/>
                <w:sz w:val="19"/>
                <w:szCs w:val="19"/>
              </w:rPr>
              <w:t xml:space="preserve">Accès principal</w:t>
            </w:r>
          </w:p>
        </w:tc>
        <w:tc>
          <w:tcPr>
            <w:tcW w:type="dxa" w:w="3000"/>
            <w:shd w:fill="3D5A1E" w:val="clear"/>
            <w:tcMar>
              <w:top w:type="dxa" w:w="80"/>
              <w:left w:type="dxa" w:w="100"/>
              <w:bottom w:type="dxa" w:w="80"/>
              <w:right w:type="dxa" w:w="100"/>
            </w:tcMar>
            <w:vAlign w:val="center"/>
          </w:tcPr>
          <w:p>
            <w:r>
              <w:rPr>
                <w:b/>
                <w:bCs/>
                <w:color w:val="FFFFFF"/>
                <w:sz w:val="19"/>
                <w:szCs w:val="19"/>
              </w:rPr>
              <w:t xml:space="preserve">Support</w:t>
            </w:r>
          </w:p>
        </w:tc>
      </w:tr>
      <w:tr>
        <w:tc>
          <w:tcPr>
            <w:tcW w:type="dxa" w:w="2800"/>
            <w:shd w:fill="FFFFFF" w:val="clear"/>
            <w:tcMar>
              <w:top w:type="dxa" w:w="80"/>
              <w:left w:type="dxa" w:w="100"/>
              <w:bottom w:type="dxa" w:w="80"/>
              <w:right w:type="dxa" w:w="100"/>
            </w:tcMar>
            <w:vAlign w:val="center"/>
          </w:tcPr>
          <w:p>
            <w:r>
              <w:rPr>
                <w:b w:val="false"/>
                <w:bCs w:val="false"/>
                <w:color w:val="1A1A1A"/>
                <w:sz w:val="19"/>
                <w:szCs w:val="19"/>
              </w:rPr>
              <w:t xml:space="preserve">Direction (Gérante)</w:t>
            </w:r>
          </w:p>
        </w:tc>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Tableaux de bord globaux, qualité, finances</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Web</w:t>
            </w:r>
          </w:p>
        </w:tc>
      </w:tr>
      <w:tr>
        <w:tc>
          <w:tcPr>
            <w:tcW w:type="dxa" w:w="2800"/>
            <w:shd w:fill="F2F2E9" w:val="clear"/>
            <w:tcMar>
              <w:top w:type="dxa" w:w="80"/>
              <w:left w:type="dxa" w:w="100"/>
              <w:bottom w:type="dxa" w:w="80"/>
              <w:right w:type="dxa" w:w="100"/>
            </w:tcMar>
            <w:vAlign w:val="center"/>
          </w:tcPr>
          <w:p>
            <w:r>
              <w:rPr>
                <w:b w:val="false"/>
                <w:bCs w:val="false"/>
                <w:color w:val="1A1A1A"/>
                <w:sz w:val="19"/>
                <w:szCs w:val="19"/>
              </w:rPr>
              <w:t xml:space="preserve">Coordination / Médecin coordinateur</w:t>
            </w:r>
          </w:p>
        </w:tc>
        <w:tc>
          <w:tcPr>
            <w:tcW w:type="dxa" w:w="3200"/>
            <w:shd w:fill="F2F2E9" w:val="clear"/>
            <w:tcMar>
              <w:top w:type="dxa" w:w="80"/>
              <w:left w:type="dxa" w:w="100"/>
              <w:bottom w:type="dxa" w:w="80"/>
              <w:right w:type="dxa" w:w="100"/>
            </w:tcMar>
            <w:vAlign w:val="center"/>
          </w:tcPr>
          <w:p>
            <w:r>
              <w:rPr>
                <w:b w:val="false"/>
                <w:bCs w:val="false"/>
                <w:color w:val="1A1A1A"/>
                <w:sz w:val="19"/>
                <w:szCs w:val="19"/>
              </w:rPr>
              <w:t xml:space="preserve">Dossiers patients, planning, admission HAD</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Web + Mobile</w:t>
            </w:r>
          </w:p>
        </w:tc>
      </w:tr>
      <w:tr>
        <w:tc>
          <w:tcPr>
            <w:tcW w:type="dxa" w:w="2800"/>
            <w:shd w:fill="FFFFFF" w:val="clear"/>
            <w:tcMar>
              <w:top w:type="dxa" w:w="80"/>
              <w:left w:type="dxa" w:w="100"/>
              <w:bottom w:type="dxa" w:w="80"/>
              <w:right w:type="dxa" w:w="100"/>
            </w:tcMar>
            <w:vAlign w:val="center"/>
          </w:tcPr>
          <w:p>
            <w:r>
              <w:rPr>
                <w:b w:val="false"/>
                <w:bCs w:val="false"/>
                <w:color w:val="1A1A1A"/>
                <w:sz w:val="19"/>
                <w:szCs w:val="19"/>
              </w:rPr>
              <w:t xml:space="preserve">Infirmier / Aide-soignant</w:t>
            </w:r>
          </w:p>
        </w:tc>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Reporting terrain, dossier de soins, planning du jour</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Mobile (mode déconnecté)</w:t>
            </w:r>
          </w:p>
        </w:tc>
      </w:tr>
      <w:tr>
        <w:tc>
          <w:tcPr>
            <w:tcW w:type="dxa" w:w="2800"/>
            <w:shd w:fill="F2F2E9" w:val="clear"/>
            <w:tcMar>
              <w:top w:type="dxa" w:w="80"/>
              <w:left w:type="dxa" w:w="100"/>
              <w:bottom w:type="dxa" w:w="80"/>
              <w:right w:type="dxa" w:w="100"/>
            </w:tcMar>
            <w:vAlign w:val="center"/>
          </w:tcPr>
          <w:p>
            <w:r>
              <w:rPr>
                <w:b w:val="false"/>
                <w:bCs w:val="false"/>
                <w:color w:val="1A1A1A"/>
                <w:sz w:val="19"/>
                <w:szCs w:val="19"/>
              </w:rPr>
              <w:t xml:space="preserve">Auxiliaire de vie / Aide-ménagère</w:t>
            </w:r>
          </w:p>
        </w:tc>
        <w:tc>
          <w:tcPr>
            <w:tcW w:type="dxa" w:w="3200"/>
            <w:shd w:fill="F2F2E9" w:val="clear"/>
            <w:tcMar>
              <w:top w:type="dxa" w:w="80"/>
              <w:left w:type="dxa" w:w="100"/>
              <w:bottom w:type="dxa" w:w="80"/>
              <w:right w:type="dxa" w:w="100"/>
            </w:tcMar>
            <w:vAlign w:val="center"/>
          </w:tcPr>
          <w:p>
            <w:r>
              <w:rPr>
                <w:b w:val="false"/>
                <w:bCs w:val="false"/>
                <w:color w:val="1A1A1A"/>
                <w:sz w:val="19"/>
                <w:szCs w:val="19"/>
              </w:rPr>
              <w:t xml:space="preserve">Planning du jour, checklist de passage</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Mobile</w:t>
            </w:r>
          </w:p>
        </w:tc>
      </w:tr>
      <w:tr>
        <w:tc>
          <w:tcPr>
            <w:tcW w:type="dxa" w:w="2800"/>
            <w:shd w:fill="FFFFFF" w:val="clear"/>
            <w:tcMar>
              <w:top w:type="dxa" w:w="80"/>
              <w:left w:type="dxa" w:w="100"/>
              <w:bottom w:type="dxa" w:w="80"/>
              <w:right w:type="dxa" w:w="100"/>
            </w:tcMar>
            <w:vAlign w:val="center"/>
          </w:tcPr>
          <w:p>
            <w:r>
              <w:rPr>
                <w:b w:val="false"/>
                <w:bCs w:val="false"/>
                <w:color w:val="1A1A1A"/>
                <w:sz w:val="19"/>
                <w:szCs w:val="19"/>
              </w:rPr>
              <w:t xml:space="preserve">RH / Formation</w:t>
            </w:r>
          </w:p>
        </w:tc>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Annuaire équipe, formations, habilitations</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Web</w:t>
            </w:r>
          </w:p>
        </w:tc>
      </w:tr>
      <w:tr>
        <w:tc>
          <w:tcPr>
            <w:tcW w:type="dxa" w:w="2800"/>
            <w:shd w:fill="F2F2E9" w:val="clear"/>
            <w:tcMar>
              <w:top w:type="dxa" w:w="80"/>
              <w:left w:type="dxa" w:w="100"/>
              <w:bottom w:type="dxa" w:w="80"/>
              <w:right w:type="dxa" w:w="100"/>
            </w:tcMar>
            <w:vAlign w:val="center"/>
          </w:tcPr>
          <w:p>
            <w:r>
              <w:rPr>
                <w:b w:val="false"/>
                <w:bCs w:val="false"/>
                <w:color w:val="1A1A1A"/>
                <w:sz w:val="19"/>
                <w:szCs w:val="19"/>
              </w:rPr>
              <w:t xml:space="preserve">Facturation</w:t>
            </w:r>
          </w:p>
        </w:tc>
        <w:tc>
          <w:tcPr>
            <w:tcW w:type="dxa" w:w="3200"/>
            <w:shd w:fill="F2F2E9" w:val="clear"/>
            <w:tcMar>
              <w:top w:type="dxa" w:w="80"/>
              <w:left w:type="dxa" w:w="100"/>
              <w:bottom w:type="dxa" w:w="80"/>
              <w:right w:type="dxa" w:w="100"/>
            </w:tcMar>
            <w:vAlign w:val="center"/>
          </w:tcPr>
          <w:p>
            <w:r>
              <w:rPr>
                <w:b w:val="false"/>
                <w:bCs w:val="false"/>
                <w:color w:val="1A1A1A"/>
                <w:sz w:val="19"/>
                <w:szCs w:val="19"/>
              </w:rPr>
              <w:t xml:space="preserve">Factures, règlements, tableaux de bord finance</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Web</w:t>
            </w:r>
          </w:p>
        </w:tc>
      </w:tr>
      <w:tr>
        <w:tc>
          <w:tcPr>
            <w:tcW w:type="dxa" w:w="2800"/>
            <w:shd w:fill="FFFFFF" w:val="clear"/>
            <w:tcMar>
              <w:top w:type="dxa" w:w="80"/>
              <w:left w:type="dxa" w:w="100"/>
              <w:bottom w:type="dxa" w:w="80"/>
              <w:right w:type="dxa" w:w="100"/>
            </w:tcMar>
            <w:vAlign w:val="center"/>
          </w:tcPr>
          <w:p>
            <w:r>
              <w:rPr>
                <w:b w:val="false"/>
                <w:bCs w:val="false"/>
                <w:color w:val="1A1A1A"/>
                <w:sz w:val="19"/>
                <w:szCs w:val="19"/>
              </w:rPr>
              <w:t xml:space="preserve">Responsable Santé au Travail</w:t>
            </w:r>
          </w:p>
        </w:tc>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Module M5, document unique, campagnes</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Web</w:t>
            </w:r>
          </w:p>
        </w:tc>
      </w:tr>
      <w:tr>
        <w:tc>
          <w:tcPr>
            <w:tcW w:type="dxa" w:w="2800"/>
            <w:shd w:fill="F2F2E9" w:val="clear"/>
            <w:tcMar>
              <w:top w:type="dxa" w:w="80"/>
              <w:left w:type="dxa" w:w="100"/>
              <w:bottom w:type="dxa" w:w="80"/>
              <w:right w:type="dxa" w:w="100"/>
            </w:tcMar>
            <w:vAlign w:val="center"/>
          </w:tcPr>
          <w:p>
            <w:r>
              <w:rPr>
                <w:b w:val="false"/>
                <w:bCs w:val="false"/>
                <w:color w:val="1A1A1A"/>
                <w:sz w:val="19"/>
                <w:szCs w:val="19"/>
              </w:rPr>
              <w:t xml:space="preserve">Entreprise cliente (portail)</w:t>
            </w:r>
          </w:p>
        </w:tc>
        <w:tc>
          <w:tcPr>
            <w:tcW w:type="dxa" w:w="3200"/>
            <w:shd w:fill="F2F2E9" w:val="clear"/>
            <w:tcMar>
              <w:top w:type="dxa" w:w="80"/>
              <w:left w:type="dxa" w:w="100"/>
              <w:bottom w:type="dxa" w:w="80"/>
              <w:right w:type="dxa" w:w="100"/>
            </w:tcMar>
            <w:vAlign w:val="center"/>
          </w:tcPr>
          <w:p>
            <w:r>
              <w:rPr>
                <w:b w:val="false"/>
                <w:bCs w:val="false"/>
                <w:color w:val="1A1A1A"/>
                <w:sz w:val="19"/>
                <w:szCs w:val="19"/>
              </w:rPr>
              <w:t xml:space="preserve">Suivi de ses visites, document unique, rapports</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Web (accès restreint)</w:t>
            </w:r>
          </w:p>
        </w:tc>
      </w:tr>
      <w:tr>
        <w:tc>
          <w:tcPr>
            <w:tcW w:type="dxa" w:w="2800"/>
            <w:shd w:fill="FFFFFF" w:val="clear"/>
            <w:tcMar>
              <w:top w:type="dxa" w:w="80"/>
              <w:left w:type="dxa" w:w="100"/>
              <w:bottom w:type="dxa" w:w="80"/>
              <w:right w:type="dxa" w:w="100"/>
            </w:tcMar>
            <w:vAlign w:val="center"/>
          </w:tcPr>
          <w:p>
            <w:r>
              <w:rPr>
                <w:b w:val="false"/>
                <w:bCs w:val="false"/>
                <w:color w:val="1A1A1A"/>
                <w:sz w:val="19"/>
                <w:szCs w:val="19"/>
              </w:rPr>
              <w:t xml:space="preserve">Patient / Famille (optionnel, phase 2)</w:t>
            </w:r>
          </w:p>
        </w:tc>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Planning des passages, contact équipe</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Mobile / Web</w:t>
            </w:r>
          </w:p>
        </w:tc>
      </w:tr>
      <w:tr>
        <w:tc>
          <w:tcPr>
            <w:tcW w:type="dxa" w:w="2800"/>
            <w:shd w:fill="F2F2E9" w:val="clear"/>
            <w:tcMar>
              <w:top w:type="dxa" w:w="80"/>
              <w:left w:type="dxa" w:w="100"/>
              <w:bottom w:type="dxa" w:w="80"/>
              <w:right w:type="dxa" w:w="100"/>
            </w:tcMar>
            <w:vAlign w:val="center"/>
          </w:tcPr>
          <w:p>
            <w:r>
              <w:rPr>
                <w:b w:val="false"/>
                <w:bCs w:val="false"/>
                <w:color w:val="1A1A1A"/>
                <w:sz w:val="19"/>
                <w:szCs w:val="19"/>
              </w:rPr>
              <w:t xml:space="preserve">Administrateur</w:t>
            </w:r>
          </w:p>
        </w:tc>
        <w:tc>
          <w:tcPr>
            <w:tcW w:type="dxa" w:w="3200"/>
            <w:shd w:fill="F2F2E9" w:val="clear"/>
            <w:tcMar>
              <w:top w:type="dxa" w:w="80"/>
              <w:left w:type="dxa" w:w="100"/>
              <w:bottom w:type="dxa" w:w="80"/>
              <w:right w:type="dxa" w:w="100"/>
            </w:tcMar>
            <w:vAlign w:val="center"/>
          </w:tcPr>
          <w:p>
            <w:r>
              <w:rPr>
                <w:b w:val="false"/>
                <w:bCs w:val="false"/>
                <w:color w:val="1A1A1A"/>
                <w:sz w:val="19"/>
                <w:szCs w:val="19"/>
              </w:rPr>
              <w:t xml:space="preserve">Paramétrage, droits, structure</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Web</w:t>
            </w:r>
          </w:p>
        </w:tc>
      </w:tr>
    </w:tbl>
    <w:p>
      <w:pPr>
        <w:pStyle w:val="Heading1"/>
        <w:pBdr>
          <w:bottom w:val="single" w:color="3D5A1E" w:sz="8" w:space="4"/>
        </w:pBdr>
        <w:spacing w:after="200" w:before="400"/>
      </w:pPr>
      <w:r>
        <w:rPr>
          <w:b/>
          <w:bCs/>
          <w:color w:val="3D5A1E"/>
          <w:sz w:val="30"/>
          <w:szCs w:val="30"/>
        </w:rPr>
        <w:t xml:space="preserve">7.  </w:t>
      </w:r>
      <w:r>
        <w:rPr>
          <w:b/>
          <w:bCs/>
          <w:color w:val="3D5A1E"/>
          <w:sz w:val="30"/>
          <w:szCs w:val="30"/>
        </w:rPr>
        <w:t xml:space="preserve">Architecture technique proposée</w:t>
      </w:r>
    </w:p>
    <w:p>
      <w:pPr>
        <w:spacing w:after="140" w:line="276"/>
      </w:pPr>
      <w:r>
        <w:rPr>
          <w:color w:val="1A1A1A"/>
          <w:sz w:val="21"/>
          <w:szCs w:val="21"/>
        </w:rPr>
        <w:t xml:space="preserve">En cohérence avec les standards retenus par CSN/Nexova sur ses plateformes de santé (MediConnect Africa) et de gestion multi-acteurs, l'architecture proposée pour NEPSIA CARE est la suivante :</w:t>
      </w:r>
    </w:p>
    <w:p>
      <w:pPr>
        <w:pStyle w:val="ListParagraph"/>
        <w:numPr>
          <w:ilvl w:val="0"/>
          <w:numId w:val="2"/>
        </w:numPr>
        <w:spacing w:after="60"/>
      </w:pPr>
      <w:r>
        <w:rPr>
          <w:sz w:val="21"/>
          <w:szCs w:val="21"/>
        </w:rPr>
        <w:t xml:space="preserve">Back-end : Node.js / Express, API REST sécurisée (JWT), déployé sur infrastructure cloud (Vercel / équivalent).</w:t>
      </w:r>
    </w:p>
    <w:p>
      <w:pPr>
        <w:pStyle w:val="ListParagraph"/>
        <w:numPr>
          <w:ilvl w:val="0"/>
          <w:numId w:val="2"/>
        </w:numPr>
        <w:spacing w:after="60"/>
      </w:pPr>
      <w:r>
        <w:rPr>
          <w:sz w:val="21"/>
          <w:szCs w:val="21"/>
        </w:rPr>
        <w:t xml:space="preserve">Base de données : PostgreSQL (hébergement managé type Neon), modèle relationnel patients / intervenants / interventions / formations / factures / indicateurs qualité.</w:t>
      </w:r>
    </w:p>
    <w:p>
      <w:pPr>
        <w:pStyle w:val="ListParagraph"/>
        <w:numPr>
          <w:ilvl w:val="0"/>
          <w:numId w:val="2"/>
        </w:numPr>
        <w:spacing w:after="60"/>
      </w:pPr>
      <w:r>
        <w:rPr>
          <w:sz w:val="21"/>
          <w:szCs w:val="21"/>
        </w:rPr>
        <w:t xml:space="preserve">Application mobile terrain : React Native (Expo), mode hors-ligne avec file de synchronisation, pour infirmiers, aides-soignants et auxiliaires de vie.</w:t>
      </w:r>
    </w:p>
    <w:p>
      <w:pPr>
        <w:pStyle w:val="ListParagraph"/>
        <w:numPr>
          <w:ilvl w:val="0"/>
          <w:numId w:val="2"/>
        </w:numPr>
        <w:spacing w:after="60"/>
      </w:pPr>
      <w:r>
        <w:rPr>
          <w:sz w:val="21"/>
          <w:szCs w:val="21"/>
        </w:rPr>
        <w:t xml:space="preserve">Portail web direction / back-office : application web responsive (React), Progressive Web App pour un accès simplifié sans installation.</w:t>
      </w:r>
    </w:p>
    <w:p>
      <w:pPr>
        <w:pStyle w:val="ListParagraph"/>
        <w:numPr>
          <w:ilvl w:val="0"/>
          <w:numId w:val="2"/>
        </w:numPr>
        <w:spacing w:after="60"/>
      </w:pPr>
      <w:r>
        <w:rPr>
          <w:sz w:val="21"/>
          <w:szCs w:val="21"/>
        </w:rPr>
        <w:t xml:space="preserve">Portail entreprises clientes (Santé au Travail) : accès web restreint en marque NEPSIA.</w:t>
      </w:r>
    </w:p>
    <w:p>
      <w:pPr>
        <w:pStyle w:val="ListParagraph"/>
        <w:numPr>
          <w:ilvl w:val="0"/>
          <w:numId w:val="2"/>
        </w:numPr>
        <w:spacing w:after="60"/>
      </w:pPr>
      <w:r>
        <w:rPr>
          <w:sz w:val="21"/>
          <w:szCs w:val="21"/>
        </w:rPr>
        <w:t xml:space="preserve">Notifications : SMS / email pour les alertes d'urgence, rappels de formation et de visite médicale.</w:t>
      </w:r>
    </w:p>
    <w:p>
      <w:pPr>
        <w:pStyle w:val="ListParagraph"/>
        <w:numPr>
          <w:ilvl w:val="0"/>
          <w:numId w:val="2"/>
        </w:numPr>
        <w:spacing w:after="60"/>
      </w:pPr>
      <w:r>
        <w:rPr>
          <w:sz w:val="21"/>
          <w:szCs w:val="21"/>
        </w:rPr>
        <w:t xml:space="preserve">Sécurité : chiffrement au repos et en transit, sauvegardes régulières, journal d'audit des accès aux dossiers médicaux.</w:t>
      </w:r>
    </w:p>
    <w:p>
      <w:pPr>
        <w:pStyle w:val="Heading1"/>
        <w:pBdr>
          <w:bottom w:val="single" w:color="3D5A1E" w:sz="8" w:space="4"/>
        </w:pBdr>
        <w:spacing w:after="200" w:before="400"/>
      </w:pPr>
      <w:r>
        <w:rPr>
          <w:b/>
          <w:bCs/>
          <w:color w:val="3D5A1E"/>
          <w:sz w:val="30"/>
          <w:szCs w:val="30"/>
        </w:rPr>
        <w:t xml:space="preserve">8.  </w:t>
      </w:r>
      <w:r>
        <w:rPr>
          <w:b/>
          <w:bCs/>
          <w:color w:val="3D5A1E"/>
          <w:sz w:val="30"/>
          <w:szCs w:val="30"/>
        </w:rPr>
        <w:t xml:space="preserve">Planning de réalisation proposé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600"/>
      </w:tblGrid>
      <w:tr>
        <w:tc>
          <w:tcPr>
            <w:tcW w:type="dxa" w:w="1600"/>
            <w:shd w:fill="3D5A1E" w:val="clear"/>
            <w:tcMar>
              <w:top w:type="dxa" w:w="80"/>
              <w:left w:type="dxa" w:w="100"/>
              <w:bottom w:type="dxa" w:w="80"/>
              <w:right w:type="dxa" w:w="100"/>
            </w:tcMar>
            <w:vAlign w:val="center"/>
          </w:tcPr>
          <w:p>
            <w:r>
              <w:rPr>
                <w:b/>
                <w:bCs/>
                <w:color w:val="FFFFFF"/>
                <w:sz w:val="19"/>
                <w:szCs w:val="19"/>
              </w:rPr>
              <w:t xml:space="preserve">Phase</w:t>
            </w:r>
          </w:p>
        </w:tc>
        <w:tc>
          <w:tcPr>
            <w:tcW w:type="dxa" w:w="3000"/>
            <w:shd w:fill="3D5A1E" w:val="clear"/>
            <w:tcMar>
              <w:top w:type="dxa" w:w="80"/>
              <w:left w:type="dxa" w:w="100"/>
              <w:bottom w:type="dxa" w:w="80"/>
              <w:right w:type="dxa" w:w="100"/>
            </w:tcMar>
            <w:vAlign w:val="center"/>
          </w:tcPr>
          <w:p>
            <w:r>
              <w:rPr>
                <w:b/>
                <w:bCs/>
                <w:color w:val="FFFFFF"/>
                <w:sz w:val="19"/>
                <w:szCs w:val="19"/>
              </w:rPr>
              <w:t xml:space="preserve">Durée indicative</w:t>
            </w:r>
          </w:p>
        </w:tc>
        <w:tc>
          <w:tcPr>
            <w:tcW w:type="dxa" w:w="4600"/>
            <w:shd w:fill="3D5A1E" w:val="clear"/>
            <w:tcMar>
              <w:top w:type="dxa" w:w="80"/>
              <w:left w:type="dxa" w:w="100"/>
              <w:bottom w:type="dxa" w:w="80"/>
              <w:right w:type="dxa" w:w="100"/>
            </w:tcMar>
            <w:vAlign w:val="center"/>
          </w:tcPr>
          <w:p>
            <w:r>
              <w:rPr>
                <w:b/>
                <w:bCs/>
                <w:color w:val="FFFFFF"/>
                <w:sz w:val="19"/>
                <w:szCs w:val="19"/>
              </w:rPr>
              <w:t xml:space="preserve">Contenu</w:t>
            </w:r>
          </w:p>
        </w:tc>
      </w:tr>
      <w:tr>
        <w:tc>
          <w:tcPr>
            <w:tcW w:type="dxa" w:w="1600"/>
            <w:shd w:fill="FFFFFF" w:val="clear"/>
            <w:tcMar>
              <w:top w:type="dxa" w:w="80"/>
              <w:left w:type="dxa" w:w="100"/>
              <w:bottom w:type="dxa" w:w="80"/>
              <w:right w:type="dxa" w:w="100"/>
            </w:tcMar>
            <w:vAlign w:val="center"/>
          </w:tcPr>
          <w:p>
            <w:r>
              <w:rPr>
                <w:b w:val="false"/>
                <w:bCs w:val="false"/>
                <w:color w:val="1A1A1A"/>
                <w:sz w:val="19"/>
                <w:szCs w:val="19"/>
              </w:rPr>
              <w:t xml:space="preserve">Phase 0</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1 à 2 semaines</w:t>
            </w:r>
          </w:p>
        </w:tc>
        <w:tc>
          <w:tcPr>
            <w:tcW w:type="dxa" w:w="4600"/>
            <w:shd w:fill="FFFFFF" w:val="clear"/>
            <w:tcMar>
              <w:top w:type="dxa" w:w="80"/>
              <w:left w:type="dxa" w:w="100"/>
              <w:bottom w:type="dxa" w:w="80"/>
              <w:right w:type="dxa" w:w="100"/>
            </w:tcMar>
            <w:vAlign w:val="center"/>
          </w:tcPr>
          <w:p>
            <w:r>
              <w:rPr>
                <w:b w:val="false"/>
                <w:bCs w:val="false"/>
                <w:color w:val="1A1A1A"/>
                <w:sz w:val="19"/>
                <w:szCs w:val="19"/>
              </w:rPr>
              <w:t xml:space="preserve">Cadrage détaillé, validation des parcours utilisateurs, maquettes</w:t>
            </w:r>
          </w:p>
        </w:tc>
      </w:tr>
      <w:tr>
        <w:tc>
          <w:tcPr>
            <w:tcW w:type="dxa" w:w="1600"/>
            <w:shd w:fill="F2F2E9" w:val="clear"/>
            <w:tcMar>
              <w:top w:type="dxa" w:w="80"/>
              <w:left w:type="dxa" w:w="100"/>
              <w:bottom w:type="dxa" w:w="80"/>
              <w:right w:type="dxa" w:w="100"/>
            </w:tcMar>
            <w:vAlign w:val="center"/>
          </w:tcPr>
          <w:p>
            <w:r>
              <w:rPr>
                <w:b w:val="false"/>
                <w:bCs w:val="false"/>
                <w:color w:val="1A1A1A"/>
                <w:sz w:val="19"/>
                <w:szCs w:val="19"/>
              </w:rPr>
              <w:t xml:space="preserve">Phase 1 — MVP</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4 à 6 semaines</w:t>
            </w:r>
          </w:p>
        </w:tc>
        <w:tc>
          <w:tcPr>
            <w:tcW w:type="dxa" w:w="4600"/>
            <w:shd w:fill="F2F2E9" w:val="clear"/>
            <w:tcMar>
              <w:top w:type="dxa" w:w="80"/>
              <w:left w:type="dxa" w:w="100"/>
              <w:bottom w:type="dxa" w:w="80"/>
              <w:right w:type="dxa" w:w="100"/>
            </w:tcMar>
            <w:vAlign w:val="center"/>
          </w:tcPr>
          <w:p>
            <w:r>
              <w:rPr>
                <w:b w:val="false"/>
                <w:bCs w:val="false"/>
                <w:color w:val="1A1A1A"/>
                <w:sz w:val="19"/>
                <w:szCs w:val="19"/>
              </w:rPr>
              <w:t xml:space="preserve">Modules M1, M2, M4, M9 (dossier patient, planning, équipe, back-office) + application mobile de reporting (M3)</w:t>
            </w:r>
          </w:p>
        </w:tc>
      </w:tr>
      <w:tr>
        <w:tc>
          <w:tcPr>
            <w:tcW w:type="dxa" w:w="1600"/>
            <w:shd w:fill="FFFFFF" w:val="clear"/>
            <w:tcMar>
              <w:top w:type="dxa" w:w="80"/>
              <w:left w:type="dxa" w:w="100"/>
              <w:bottom w:type="dxa" w:w="80"/>
              <w:right w:type="dxa" w:w="100"/>
            </w:tcMar>
            <w:vAlign w:val="center"/>
          </w:tcPr>
          <w:p>
            <w:r>
              <w:rPr>
                <w:b w:val="false"/>
                <w:bCs w:val="false"/>
                <w:color w:val="1A1A1A"/>
                <w:sz w:val="19"/>
                <w:szCs w:val="19"/>
              </w:rPr>
              <w:t xml:space="preserve">Phase 2</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4 semaines</w:t>
            </w:r>
          </w:p>
        </w:tc>
        <w:tc>
          <w:tcPr>
            <w:tcW w:type="dxa" w:w="4600"/>
            <w:shd w:fill="FFFFFF" w:val="clear"/>
            <w:tcMar>
              <w:top w:type="dxa" w:w="80"/>
              <w:left w:type="dxa" w:w="100"/>
              <w:bottom w:type="dxa" w:w="80"/>
              <w:right w:type="dxa" w:w="100"/>
            </w:tcMar>
            <w:vAlign w:val="center"/>
          </w:tcPr>
          <w:p>
            <w:r>
              <w:rPr>
                <w:b w:val="false"/>
                <w:bCs w:val="false"/>
                <w:color w:val="1A1A1A"/>
                <w:sz w:val="19"/>
                <w:szCs w:val="19"/>
              </w:rPr>
              <w:t xml:space="preserve">Module M5 Santé au Travail (B2B) et module M6 Facturation</w:t>
            </w:r>
          </w:p>
        </w:tc>
      </w:tr>
      <w:tr>
        <w:tc>
          <w:tcPr>
            <w:tcW w:type="dxa" w:w="1600"/>
            <w:shd w:fill="F2F2E9" w:val="clear"/>
            <w:tcMar>
              <w:top w:type="dxa" w:w="80"/>
              <w:left w:type="dxa" w:w="100"/>
              <w:bottom w:type="dxa" w:w="80"/>
              <w:right w:type="dxa" w:w="100"/>
            </w:tcMar>
            <w:vAlign w:val="center"/>
          </w:tcPr>
          <w:p>
            <w:r>
              <w:rPr>
                <w:b w:val="false"/>
                <w:bCs w:val="false"/>
                <w:color w:val="1A1A1A"/>
                <w:sz w:val="19"/>
                <w:szCs w:val="19"/>
              </w:rPr>
              <w:t xml:space="preserve">Phase 3</w:t>
            </w:r>
          </w:p>
        </w:tc>
        <w:tc>
          <w:tcPr>
            <w:tcW w:type="dxa" w:w="3000"/>
            <w:shd w:fill="F2F2E9" w:val="clear"/>
            <w:tcMar>
              <w:top w:type="dxa" w:w="80"/>
              <w:left w:type="dxa" w:w="100"/>
              <w:bottom w:type="dxa" w:w="80"/>
              <w:right w:type="dxa" w:w="100"/>
            </w:tcMar>
            <w:vAlign w:val="center"/>
          </w:tcPr>
          <w:p>
            <w:r>
              <w:rPr>
                <w:b w:val="false"/>
                <w:bCs w:val="false"/>
                <w:color w:val="1A1A1A"/>
                <w:sz w:val="19"/>
                <w:szCs w:val="19"/>
              </w:rPr>
              <w:t xml:space="preserve">3 semaines</w:t>
            </w:r>
          </w:p>
        </w:tc>
        <w:tc>
          <w:tcPr>
            <w:tcW w:type="dxa" w:w="4600"/>
            <w:shd w:fill="F2F2E9" w:val="clear"/>
            <w:tcMar>
              <w:top w:type="dxa" w:w="80"/>
              <w:left w:type="dxa" w:w="100"/>
              <w:bottom w:type="dxa" w:w="80"/>
              <w:right w:type="dxa" w:w="100"/>
            </w:tcMar>
            <w:vAlign w:val="center"/>
          </w:tcPr>
          <w:p>
            <w:r>
              <w:rPr>
                <w:b w:val="false"/>
                <w:bCs w:val="false"/>
                <w:color w:val="1A1A1A"/>
                <w:sz w:val="19"/>
                <w:szCs w:val="19"/>
              </w:rPr>
              <w:t xml:space="preserve">Module M7 Qualité/SMQ, module M8 Urgences, portail patient/famille</w:t>
            </w:r>
          </w:p>
        </w:tc>
      </w:tr>
      <w:tr>
        <w:tc>
          <w:tcPr>
            <w:tcW w:type="dxa" w:w="1600"/>
            <w:shd w:fill="FFFFFF" w:val="clear"/>
            <w:tcMar>
              <w:top w:type="dxa" w:w="80"/>
              <w:left w:type="dxa" w:w="100"/>
              <w:bottom w:type="dxa" w:w="80"/>
              <w:right w:type="dxa" w:w="100"/>
            </w:tcMar>
            <w:vAlign w:val="center"/>
          </w:tcPr>
          <w:p>
            <w:r>
              <w:rPr>
                <w:b w:val="false"/>
                <w:bCs w:val="false"/>
                <w:color w:val="1A1A1A"/>
                <w:sz w:val="19"/>
                <w:szCs w:val="19"/>
              </w:rPr>
              <w:t xml:space="preserve">Phase 4</w:t>
            </w:r>
          </w:p>
        </w:tc>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continu</w:t>
            </w:r>
          </w:p>
        </w:tc>
        <w:tc>
          <w:tcPr>
            <w:tcW w:type="dxa" w:w="4600"/>
            <w:shd w:fill="FFFFFF" w:val="clear"/>
            <w:tcMar>
              <w:top w:type="dxa" w:w="80"/>
              <w:left w:type="dxa" w:w="100"/>
              <w:bottom w:type="dxa" w:w="80"/>
              <w:right w:type="dxa" w:w="100"/>
            </w:tcMar>
            <w:vAlign w:val="center"/>
          </w:tcPr>
          <w:p>
            <w:r>
              <w:rPr>
                <w:b w:val="false"/>
                <w:bCs w:val="false"/>
                <w:color w:val="1A1A1A"/>
                <w:sz w:val="19"/>
                <w:szCs w:val="19"/>
              </w:rPr>
              <w:t xml:space="preserve">Recette, formation des équipes NEPSIA, déploiement, support et évolutions</w:t>
            </w:r>
          </w:p>
        </w:tc>
      </w:tr>
    </w:tbl>
    <w:p>
      <w:pPr>
        <w:pStyle w:val="Heading1"/>
        <w:pBdr>
          <w:bottom w:val="single" w:color="3D5A1E" w:sz="8" w:space="4"/>
        </w:pBdr>
        <w:spacing w:after="200" w:before="400"/>
      </w:pPr>
      <w:r>
        <w:rPr>
          <w:b/>
          <w:bCs/>
          <w:color w:val="3D5A1E"/>
          <w:sz w:val="30"/>
          <w:szCs w:val="30"/>
        </w:rPr>
        <w:t xml:space="preserve">9.  </w:t>
      </w:r>
      <w:r>
        <w:rPr>
          <w:b/>
          <w:bCs/>
          <w:color w:val="3D5A1E"/>
          <w:sz w:val="30"/>
          <w:szCs w:val="30"/>
        </w:rPr>
        <w:t xml:space="preserve">Livrables attendus</w:t>
      </w:r>
    </w:p>
    <w:p>
      <w:pPr>
        <w:pStyle w:val="ListParagraph"/>
        <w:numPr>
          <w:ilvl w:val="0"/>
          <w:numId w:val="2"/>
        </w:numPr>
        <w:spacing w:after="60"/>
      </w:pPr>
      <w:r>
        <w:rPr>
          <w:sz w:val="21"/>
          <w:szCs w:val="21"/>
        </w:rPr>
        <w:t xml:space="preserve">Application web back-office (portail direction / coordination / RH / facturation / qualité).</w:t>
      </w:r>
    </w:p>
    <w:p>
      <w:pPr>
        <w:pStyle w:val="ListParagraph"/>
        <w:numPr>
          <w:ilvl w:val="0"/>
          <w:numId w:val="2"/>
        </w:numPr>
        <w:spacing w:after="60"/>
      </w:pPr>
      <w:r>
        <w:rPr>
          <w:sz w:val="21"/>
          <w:szCs w:val="21"/>
        </w:rPr>
        <w:t xml:space="preserve">Application mobile terrain pour les intervenants (mode déconnecté).</w:t>
      </w:r>
    </w:p>
    <w:p>
      <w:pPr>
        <w:pStyle w:val="ListParagraph"/>
        <w:numPr>
          <w:ilvl w:val="0"/>
          <w:numId w:val="2"/>
        </w:numPr>
        <w:spacing w:after="60"/>
      </w:pPr>
      <w:r>
        <w:rPr>
          <w:sz w:val="21"/>
          <w:szCs w:val="21"/>
        </w:rPr>
        <w:t xml:space="preserve">Portail dédié aux entreprises clientes Santé au Travail.</w:t>
      </w:r>
    </w:p>
    <w:p>
      <w:pPr>
        <w:pStyle w:val="ListParagraph"/>
        <w:numPr>
          <w:ilvl w:val="0"/>
          <w:numId w:val="2"/>
        </w:numPr>
        <w:spacing w:after="60"/>
      </w:pPr>
      <w:r>
        <w:rPr>
          <w:sz w:val="21"/>
          <w:szCs w:val="21"/>
        </w:rPr>
        <w:t xml:space="preserve">Documentation technique et fonctionnelle, guide utilisateur par profil.</w:t>
      </w:r>
    </w:p>
    <w:p>
      <w:pPr>
        <w:pStyle w:val="ListParagraph"/>
        <w:numPr>
          <w:ilvl w:val="0"/>
          <w:numId w:val="2"/>
        </w:numPr>
        <w:spacing w:after="60"/>
      </w:pPr>
      <w:r>
        <w:rPr>
          <w:sz w:val="21"/>
          <w:szCs w:val="21"/>
        </w:rPr>
        <w:t xml:space="preserve">Formation des équipes NEPSIA à l'utilisation de la solution.</w:t>
      </w:r>
    </w:p>
    <w:p>
      <w:pPr>
        <w:pBdr>
          <w:top w:val="single" w:color="C9A227" w:sz="8" w:space="8"/>
        </w:pBdr>
        <w:spacing w:before="500"/>
      </w:pPr>
      <w:r>
        <w:t xml:space="preserve"/>
      </w:r>
    </w:p>
    <w:p>
      <w:pPr>
        <w:spacing w:before="200"/>
      </w:pPr>
      <w:r>
        <w:rPr>
          <w:b/>
          <w:bCs/>
          <w:color w:val="3D5A1E"/>
          <w:sz w:val="20"/>
          <w:szCs w:val="20"/>
        </w:rPr>
        <w:t xml:space="preserve">Compagnie des Services Numériques (CSN) — Nexova</w:t>
      </w:r>
    </w:p>
    <w:p>
      <w:r>
        <w:rPr>
          <w:i/>
          <w:iCs/>
          <w:color w:val="595959"/>
          <w:sz w:val="18"/>
          <w:szCs w:val="18"/>
        </w:rPr>
        <w:t xml:space="preserve">Digital Platforms for Africa — Abidjan, Côte d'Ivoire</w:t>
      </w:r>
    </w:p>
    <w:sectPr>
      <w:headerReference w:type="default" r:id="rId7"/>
      <w:footerReference w:type="default" r:id="rId8"/>
      <w:pgSz w:w="11906" w:h="16838" w:orient="portrait"/>
      <w:pgMar w:top="1200" w:right="1100" w:bottom="1200" w:left="11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NEPSIA CARE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2026-07-30T20:28:11.236Z</dcterms:created>
  <dcterms:modified xsi:type="dcterms:W3CDTF">2026-07-30T20:28:11.253Z</dcterms:modified>
</cp:coreProperties>
</file>

<file path=docProps/custom.xml><?xml version="1.0" encoding="utf-8"?>
<Properties xmlns="http://schemas.openxmlformats.org/officeDocument/2006/custom-properties" xmlns:vt="http://schemas.openxmlformats.org/officeDocument/2006/docPropsVTypes"/>
</file>