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3B3B98"/>
          <w:sz w:val="26"/>
          <w:szCs w:val="26"/>
        </w:rPr>
        <w:t xml:space="preserve">CORVANE SYSTEMS</w:t>
      </w:r>
    </w:p>
    <w:p>
      <w:pPr>
        <w:spacing w:after="200"/>
      </w:pPr>
      <w:r>
        <w:rPr>
          <w:b/>
          <w:bCs/>
          <w:sz w:val="56"/>
          <w:szCs w:val="56"/>
        </w:rPr>
        <w:t xml:space="preserve">Corvane Inspect 6.2</w:t>
      </w:r>
    </w:p>
    <w:p>
      <w:pPr>
        <w:spacing w:after="600"/>
      </w:pPr>
      <w:r>
        <w:rPr>
          <w:color w:val="555555"/>
          <w:sz w:val="36"/>
          <w:szCs w:val="36"/>
        </w:rPr>
        <w:t xml:space="preserve">Product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3B3B98" w:color="auto" w:val="clear"/>
            <w:tcMar>
              <w:top w:type="dxa" w:w="60"/>
              <w:left w:type="dxa" w:w="100"/>
              <w:bottom w:type="dxa" w:w="60"/>
              <w:right w:type="dxa" w:w="100"/>
            </w:tcMar>
          </w:tcPr>
          <w:p>
            <w:r>
              <w:rPr>
                <w:b/>
                <w:bCs/>
                <w:color w:val="FFFFFF"/>
              </w:rPr>
              <w:t xml:space="preserve">Field</w:t>
            </w:r>
          </w:p>
        </w:tc>
        <w:tc>
          <w:tcPr>
            <w:tcW w:type="dxa" w:w="6760"/>
            <w:shd w:fill="3B3B98" w:color="auto" w:val="clear"/>
            <w:tcMar>
              <w:top w:type="dxa" w:w="60"/>
              <w:left w:type="dxa" w:w="100"/>
              <w:bottom w:type="dxa" w:w="60"/>
              <w:right w:type="dxa" w:w="100"/>
            </w:tcMar>
          </w:tcPr>
          <w:p>
            <w:r>
              <w:rPr>
                <w:b/>
                <w:bCs/>
                <w:color w:val="FFFFFF"/>
              </w:rPr>
              <w:t xml:space="preserve">Value</w:t>
            </w:r>
          </w:p>
        </w:tc>
      </w:tr>
      <w:tr>
        <w:trPr>
          <w:tblHeader w:val="false"/>
        </w:trPr>
        <w:tc>
          <w:tcPr>
            <w:tcW w:type="dxa" w:w="2600"/>
            <w:tcMar>
              <w:top w:type="dxa" w:w="60"/>
              <w:left w:type="dxa" w:w="100"/>
              <w:bottom w:type="dxa" w:w="60"/>
              <w:right w:type="dxa" w:w="100"/>
            </w:tcMar>
          </w:tcPr>
          <w:p>
            <w:r>
              <w:t xml:space="preserve">Document</w:t>
            </w:r>
          </w:p>
        </w:tc>
        <w:tc>
          <w:tcPr>
            <w:tcW w:type="dxa" w:w="6760"/>
            <w:tcMar>
              <w:top w:type="dxa" w:w="60"/>
              <w:left w:type="dxa" w:w="100"/>
              <w:bottom w:type="dxa" w:w="60"/>
              <w:right w:type="dxa" w:w="100"/>
            </w:tcMar>
          </w:tcPr>
          <w:p>
            <w:r>
              <w:t xml:space="preserve">CS-SPEC-062, Revision C</w:t>
            </w:r>
          </w:p>
        </w:tc>
      </w:tr>
      <w:tr>
        <w:trPr>
          <w:tblHeader w:val="false"/>
        </w:trPr>
        <w:tc>
          <w:tcPr>
            <w:tcW w:type="dxa" w:w="2600"/>
            <w:shd w:fill="F3F4FA" w:color="auto" w:val="clear"/>
            <w:tcMar>
              <w:top w:type="dxa" w:w="60"/>
              <w:left w:type="dxa" w:w="100"/>
              <w:bottom w:type="dxa" w:w="60"/>
              <w:right w:type="dxa" w:w="100"/>
            </w:tcMar>
          </w:tcPr>
          <w:p>
            <w:r>
              <w:t xml:space="preserve">Release covered</w:t>
            </w:r>
          </w:p>
        </w:tc>
        <w:tc>
          <w:tcPr>
            <w:tcW w:type="dxa" w:w="6760"/>
            <w:shd w:fill="F3F4FA" w:color="auto" w:val="clear"/>
            <w:tcMar>
              <w:top w:type="dxa" w:w="60"/>
              <w:left w:type="dxa" w:w="100"/>
              <w:bottom w:type="dxa" w:w="60"/>
              <w:right w:type="dxa" w:w="100"/>
            </w:tcMar>
          </w:tcPr>
          <w:p>
            <w:r>
              <w:t xml:space="preserve">Corvane Inspect 6.2 (generally available August 2026)</w:t>
            </w:r>
          </w:p>
        </w:tc>
      </w:tr>
      <w:tr>
        <w:trPr>
          <w:tblHeader w:val="false"/>
        </w:trPr>
        <w:tc>
          <w:tcPr>
            <w:tcW w:type="dxa" w:w="2600"/>
            <w:tcMar>
              <w:top w:type="dxa" w:w="60"/>
              <w:left w:type="dxa" w:w="100"/>
              <w:bottom w:type="dxa" w:w="60"/>
              <w:right w:type="dxa" w:w="100"/>
            </w:tcMar>
          </w:tcPr>
          <w:p>
            <w:r>
              <w:t xml:space="preserve">Date</w:t>
            </w:r>
          </w:p>
        </w:tc>
        <w:tc>
          <w:tcPr>
            <w:tcW w:type="dxa" w:w="6760"/>
            <w:tcMar>
              <w:top w:type="dxa" w:w="60"/>
              <w:left w:type="dxa" w:w="100"/>
              <w:bottom w:type="dxa" w:w="60"/>
              <w:right w:type="dxa" w:w="100"/>
            </w:tcMar>
          </w:tcPr>
          <w:p>
            <w:r>
              <w:t xml:space="preserve">September 15, 2026</w:t>
            </w:r>
          </w:p>
        </w:tc>
      </w:tr>
      <w:tr>
        <w:trPr>
          <w:tblHeader w:val="false"/>
        </w:trPr>
        <w:tc>
          <w:tcPr>
            <w:tcW w:type="dxa" w:w="2600"/>
            <w:shd w:fill="F3F4FA" w:color="auto" w:val="clear"/>
            <w:tcMar>
              <w:top w:type="dxa" w:w="60"/>
              <w:left w:type="dxa" w:w="100"/>
              <w:bottom w:type="dxa" w:w="60"/>
              <w:right w:type="dxa" w:w="100"/>
            </w:tcMar>
          </w:tcPr>
          <w:p>
            <w:r>
              <w:t xml:space="preserve">Owner</w:t>
            </w:r>
          </w:p>
        </w:tc>
        <w:tc>
          <w:tcPr>
            <w:tcW w:type="dxa" w:w="6760"/>
            <w:shd w:fill="F3F4FA" w:color="auto" w:val="clear"/>
            <w:tcMar>
              <w:top w:type="dxa" w:w="60"/>
              <w:left w:type="dxa" w:w="100"/>
              <w:bottom w:type="dxa" w:w="60"/>
              <w:right w:type="dxa" w:w="100"/>
            </w:tcMar>
          </w:tcPr>
          <w:p>
            <w:r>
              <w:t xml:space="preserve">Priya Raman, Senior Product Manager</w:t>
            </w:r>
          </w:p>
        </w:tc>
      </w:tr>
      <w:tr>
        <w:trPr>
          <w:tblHeader w:val="false"/>
        </w:trPr>
        <w:tc>
          <w:tcPr>
            <w:tcW w:type="dxa" w:w="2600"/>
            <w:tcMar>
              <w:top w:type="dxa" w:w="60"/>
              <w:left w:type="dxa" w:w="100"/>
              <w:bottom w:type="dxa" w:w="60"/>
              <w:right w:type="dxa" w:w="100"/>
            </w:tcMar>
          </w:tcPr>
          <w:p>
            <w:r>
              <w:t xml:space="preserve">Audience</w:t>
            </w:r>
          </w:p>
        </w:tc>
        <w:tc>
          <w:tcPr>
            <w:tcW w:type="dxa" w:w="6760"/>
            <w:tcMar>
              <w:top w:type="dxa" w:w="60"/>
              <w:left w:type="dxa" w:w="100"/>
              <w:bottom w:type="dxa" w:w="60"/>
              <w:right w:type="dxa" w:w="100"/>
            </w:tcMar>
          </w:tcPr>
          <w:p>
            <w:r>
              <w:t xml:space="preserve">Sales, solutions engineering, customers and prospects under NDA</w:t>
            </w:r>
          </w:p>
        </w:tc>
      </w:tr>
    </w:tbl>
    <w:p>
      <w:r>
        <w:br w:type="page"/>
      </w:r>
    </w:p>
    <w:p>
      <w:pPr>
        <w:pStyle w:val="Heading1"/>
      </w:pPr>
      <w:r>
        <w:t xml:space="preserve">1. Product Overview</w:t>
      </w:r>
    </w:p>
    <w:p>
      <w:pPr>
        <w:spacing w:after="140"/>
      </w:pPr>
      <w:r>
        <w:t xml:space="preserve">Corvane Inspect is a cloud-hosted field inspection and asset condition platform for water, wastewater, gas and electric utilities and public works departments. Field crews complete configurable inspection forms on tablets, capture located photos, and synchronize results to a web console used by supervisors and asset managers. Integrations connect inspection results to GIS and maintenance management systems.</w:t>
      </w:r>
    </w:p>
    <w:p>
      <w:pPr>
        <w:spacing w:after="140"/>
      </w:pPr>
      <w:r>
        <w:t xml:space="preserve">Version 6.2 adds a native Arm64 build of the Windows field application, map-based sketching, scheduled PDF reports and performance improvements to synchronization. As of September 2026, Corvane Inspect is used by 64 utilities and agencies with approximately 9,800 active field users.</w:t>
      </w:r>
    </w:p>
    <w:p>
      <w:pPr>
        <w:pStyle w:val="Heading2"/>
      </w:pPr>
      <w:r>
        <w:t xml:space="preserve">1.1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3B3B98" w:color="auto" w:val="clear"/>
            <w:tcMar>
              <w:top w:type="dxa" w:w="60"/>
              <w:left w:type="dxa" w:w="100"/>
              <w:bottom w:type="dxa" w:w="60"/>
              <w:right w:type="dxa" w:w="100"/>
            </w:tcMar>
          </w:tcPr>
          <w:p>
            <w:r>
              <w:rPr>
                <w:b/>
                <w:bCs/>
                <w:color w:val="FFFFFF"/>
              </w:rPr>
              <w:t xml:space="preserve">Component</w:t>
            </w:r>
          </w:p>
        </w:tc>
        <w:tc>
          <w:tcPr>
            <w:tcW w:type="dxa" w:w="6760"/>
            <w:shd w:fill="3B3B98" w:color="auto" w:val="clear"/>
            <w:tcMar>
              <w:top w:type="dxa" w:w="60"/>
              <w:left w:type="dxa" w:w="100"/>
              <w:bottom w:type="dxa" w:w="60"/>
              <w:right w:type="dxa" w:w="100"/>
            </w:tcMar>
          </w:tcPr>
          <w:p>
            <w:r>
              <w:rPr>
                <w:b/>
                <w:bCs/>
                <w:color w:val="FFFFFF"/>
              </w:rPr>
              <w:t xml:space="preserve">Description</w:t>
            </w:r>
          </w:p>
        </w:tc>
      </w:tr>
      <w:tr>
        <w:trPr>
          <w:tblHeader w:val="false"/>
        </w:trPr>
        <w:tc>
          <w:tcPr>
            <w:tcW w:type="dxa" w:w="2600"/>
            <w:tcMar>
              <w:top w:type="dxa" w:w="60"/>
              <w:left w:type="dxa" w:w="100"/>
              <w:bottom w:type="dxa" w:w="60"/>
              <w:right w:type="dxa" w:w="100"/>
            </w:tcMar>
          </w:tcPr>
          <w:p>
            <w:r>
              <w:t xml:space="preserve">Field application</w:t>
            </w:r>
          </w:p>
        </w:tc>
        <w:tc>
          <w:tcPr>
            <w:tcW w:type="dxa" w:w="6760"/>
            <w:tcMar>
              <w:top w:type="dxa" w:w="60"/>
              <w:left w:type="dxa" w:w="100"/>
              <w:bottom w:type="dxa" w:w="60"/>
              <w:right w:type="dxa" w:w="100"/>
            </w:tcMar>
          </w:tcPr>
          <w:p>
            <w:r>
              <w:t xml:space="preserve">Native app for Windows and iPadOS tablets used by inspectors and crew leads</w:t>
            </w:r>
          </w:p>
        </w:tc>
      </w:tr>
      <w:tr>
        <w:trPr>
          <w:tblHeader w:val="false"/>
        </w:trPr>
        <w:tc>
          <w:tcPr>
            <w:tcW w:type="dxa" w:w="2600"/>
            <w:shd w:fill="F3F4FA" w:color="auto" w:val="clear"/>
            <w:tcMar>
              <w:top w:type="dxa" w:w="60"/>
              <w:left w:type="dxa" w:w="100"/>
              <w:bottom w:type="dxa" w:w="60"/>
              <w:right w:type="dxa" w:w="100"/>
            </w:tcMar>
          </w:tcPr>
          <w:p>
            <w:r>
              <w:t xml:space="preserve">Web console</w:t>
            </w:r>
          </w:p>
        </w:tc>
        <w:tc>
          <w:tcPr>
            <w:tcW w:type="dxa" w:w="6760"/>
            <w:shd w:fill="F3F4FA" w:color="auto" w:val="clear"/>
            <w:tcMar>
              <w:top w:type="dxa" w:w="60"/>
              <w:left w:type="dxa" w:w="100"/>
              <w:bottom w:type="dxa" w:w="60"/>
              <w:right w:type="dxa" w:w="100"/>
            </w:tcMar>
          </w:tcPr>
          <w:p>
            <w:r>
              <w:t xml:space="preserve">Browser-based console for supervisors, analysts and administrators</w:t>
            </w:r>
          </w:p>
        </w:tc>
      </w:tr>
      <w:tr>
        <w:trPr>
          <w:tblHeader w:val="false"/>
        </w:trPr>
        <w:tc>
          <w:tcPr>
            <w:tcW w:type="dxa" w:w="2600"/>
            <w:tcMar>
              <w:top w:type="dxa" w:w="60"/>
              <w:left w:type="dxa" w:w="100"/>
              <w:bottom w:type="dxa" w:w="60"/>
              <w:right w:type="dxa" w:w="100"/>
            </w:tcMar>
          </w:tcPr>
          <w:p>
            <w:r>
              <w:t xml:space="preserve">Form designer</w:t>
            </w:r>
          </w:p>
        </w:tc>
        <w:tc>
          <w:tcPr>
            <w:tcW w:type="dxa" w:w="6760"/>
            <w:tcMar>
              <w:top w:type="dxa" w:w="60"/>
              <w:left w:type="dxa" w:w="100"/>
              <w:bottom w:type="dxa" w:w="60"/>
              <w:right w:type="dxa" w:w="100"/>
            </w:tcMar>
          </w:tcPr>
          <w:p>
            <w:r>
              <w:t xml:space="preserve">No-code tool for building and versioning inspection forms</w:t>
            </w:r>
          </w:p>
        </w:tc>
      </w:tr>
      <w:tr>
        <w:trPr>
          <w:tblHeader w:val="false"/>
        </w:trPr>
        <w:tc>
          <w:tcPr>
            <w:tcW w:type="dxa" w:w="2600"/>
            <w:shd w:fill="F3F4FA" w:color="auto" w:val="clear"/>
            <w:tcMar>
              <w:top w:type="dxa" w:w="60"/>
              <w:left w:type="dxa" w:w="100"/>
              <w:bottom w:type="dxa" w:w="60"/>
              <w:right w:type="dxa" w:w="100"/>
            </w:tcMar>
          </w:tcPr>
          <w:p>
            <w:r>
              <w:t xml:space="preserve">Integration services</w:t>
            </w:r>
          </w:p>
        </w:tc>
        <w:tc>
          <w:tcPr>
            <w:tcW w:type="dxa" w:w="6760"/>
            <w:shd w:fill="F3F4FA" w:color="auto" w:val="clear"/>
            <w:tcMar>
              <w:top w:type="dxa" w:w="60"/>
              <w:left w:type="dxa" w:w="100"/>
              <w:bottom w:type="dxa" w:w="60"/>
              <w:right w:type="dxa" w:w="100"/>
            </w:tcMar>
          </w:tcPr>
          <w:p>
            <w:r>
              <w:t xml:space="preserve">Connectors for Esri ArcGIS and IBM Maximo, REST API and webhooks</w:t>
            </w:r>
          </w:p>
        </w:tc>
      </w:tr>
      <w:tr>
        <w:trPr>
          <w:tblHeader w:val="false"/>
        </w:trPr>
        <w:tc>
          <w:tcPr>
            <w:tcW w:type="dxa" w:w="2600"/>
            <w:tcMar>
              <w:top w:type="dxa" w:w="60"/>
              <w:left w:type="dxa" w:w="100"/>
              <w:bottom w:type="dxa" w:w="60"/>
              <w:right w:type="dxa" w:w="100"/>
            </w:tcMar>
          </w:tcPr>
          <w:p>
            <w:r>
              <w:t xml:space="preserve">AI Assist</w:t>
            </w:r>
          </w:p>
        </w:tc>
        <w:tc>
          <w:tcPr>
            <w:tcW w:type="dxa" w:w="6760"/>
            <w:tcMar>
              <w:top w:type="dxa" w:w="60"/>
              <w:left w:type="dxa" w:w="100"/>
              <w:bottom w:type="dxa" w:w="60"/>
              <w:right w:type="dxa" w:w="100"/>
            </w:tcMar>
          </w:tcPr>
          <w:p>
            <w:r>
              <w:t xml:space="preserve">Optional assistant for form design and inspection note summaries (see Section 7.4)</w:t>
            </w:r>
          </w:p>
        </w:tc>
      </w:tr>
    </w:tbl>
    <w:p>
      <w:pPr>
        <w:pStyle w:val="Heading1"/>
      </w:pPr>
      <w:r>
        <w:t xml:space="preserve">2. Supported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3B3B98" w:color="auto" w:val="clear"/>
            <w:tcMar>
              <w:top w:type="dxa" w:w="60"/>
              <w:left w:type="dxa" w:w="100"/>
              <w:bottom w:type="dxa" w:w="60"/>
              <w:right w:type="dxa" w:w="100"/>
            </w:tcMar>
          </w:tcPr>
          <w:p>
            <w:r>
              <w:rPr>
                <w:b/>
                <w:bCs/>
                <w:color w:val="FFFFFF"/>
              </w:rPr>
              <w:t xml:space="preserve">Platform</w:t>
            </w:r>
          </w:p>
        </w:tc>
        <w:tc>
          <w:tcPr>
            <w:tcW w:type="dxa" w:w="2600"/>
            <w:shd w:fill="3B3B98" w:color="auto" w:val="clear"/>
            <w:tcMar>
              <w:top w:type="dxa" w:w="60"/>
              <w:left w:type="dxa" w:w="100"/>
              <w:bottom w:type="dxa" w:w="60"/>
              <w:right w:type="dxa" w:w="100"/>
            </w:tcMar>
          </w:tcPr>
          <w:p>
            <w:r>
              <w:rPr>
                <w:b/>
                <w:bCs/>
                <w:color w:val="FFFFFF"/>
              </w:rPr>
              <w:t xml:space="preserve">Support in 6.2</w:t>
            </w:r>
          </w:p>
        </w:tc>
        <w:tc>
          <w:tcPr>
            <w:tcW w:type="dxa" w:w="4360"/>
            <w:shd w:fill="3B3B98" w:color="auto" w:val="clear"/>
            <w:tcMar>
              <w:top w:type="dxa" w:w="60"/>
              <w:left w:type="dxa" w:w="100"/>
              <w:bottom w:type="dxa" w:w="60"/>
              <w:right w:type="dxa" w:w="100"/>
            </w:tcMar>
          </w:tcPr>
          <w:p>
            <w:r>
              <w:rPr>
                <w:b/>
                <w:bCs/>
                <w:color w:val="FFFFFF"/>
              </w:rPr>
              <w:t xml:space="preserve">Notes</w:t>
            </w:r>
          </w:p>
        </w:tc>
      </w:tr>
      <w:tr>
        <w:trPr>
          <w:tblHeader w:val="false"/>
        </w:trPr>
        <w:tc>
          <w:tcPr>
            <w:tcW w:type="dxa" w:w="2400"/>
            <w:tcMar>
              <w:top w:type="dxa" w:w="60"/>
              <w:left w:type="dxa" w:w="100"/>
              <w:bottom w:type="dxa" w:w="60"/>
              <w:right w:type="dxa" w:w="100"/>
            </w:tcMar>
          </w:tcPr>
          <w:p>
            <w:r>
              <w:t xml:space="preserve">Windows 11 (x64)</w:t>
            </w:r>
          </w:p>
        </w:tc>
        <w:tc>
          <w:tcPr>
            <w:tcW w:type="dxa" w:w="2600"/>
            <w:tcMar>
              <w:top w:type="dxa" w:w="60"/>
              <w:left w:type="dxa" w:w="100"/>
              <w:bottom w:type="dxa" w:w="60"/>
              <w:right w:type="dxa" w:w="100"/>
            </w:tcMar>
          </w:tcPr>
          <w:p>
            <w:r>
              <w:t xml:space="preserve">Fully supported</w:t>
            </w:r>
          </w:p>
        </w:tc>
        <w:tc>
          <w:tcPr>
            <w:tcW w:type="dxa" w:w="4360"/>
            <w:tcMar>
              <w:top w:type="dxa" w:w="60"/>
              <w:left w:type="dxa" w:w="100"/>
              <w:bottom w:type="dxa" w:w="60"/>
              <w:right w:type="dxa" w:w="100"/>
            </w:tcMar>
          </w:tcPr>
          <w:p>
            <w:r>
              <w:t xml:space="preserve">Windows 11 22H2 or later</w:t>
            </w:r>
          </w:p>
        </w:tc>
      </w:tr>
      <w:tr>
        <w:trPr>
          <w:tblHeader w:val="false"/>
        </w:trPr>
        <w:tc>
          <w:tcPr>
            <w:tcW w:type="dxa" w:w="2400"/>
            <w:shd w:fill="F3F4FA" w:color="auto" w:val="clear"/>
            <w:tcMar>
              <w:top w:type="dxa" w:w="60"/>
              <w:left w:type="dxa" w:w="100"/>
              <w:bottom w:type="dxa" w:w="60"/>
              <w:right w:type="dxa" w:w="100"/>
            </w:tcMar>
          </w:tcPr>
          <w:p>
            <w:r>
              <w:t xml:space="preserve">Windows 11 (Arm64)</w:t>
            </w:r>
          </w:p>
        </w:tc>
        <w:tc>
          <w:tcPr>
            <w:tcW w:type="dxa" w:w="2600"/>
            <w:shd w:fill="F3F4FA" w:color="auto" w:val="clear"/>
            <w:tcMar>
              <w:top w:type="dxa" w:w="60"/>
              <w:left w:type="dxa" w:w="100"/>
              <w:bottom w:type="dxa" w:w="60"/>
              <w:right w:type="dxa" w:w="100"/>
            </w:tcMar>
          </w:tcPr>
          <w:p>
            <w:r>
              <w:t xml:space="preserve">Fully supported, native build</w:t>
            </w:r>
          </w:p>
        </w:tc>
        <w:tc>
          <w:tcPr>
            <w:tcW w:type="dxa" w:w="4360"/>
            <w:shd w:fill="F3F4FA" w:color="auto" w:val="clear"/>
            <w:tcMar>
              <w:top w:type="dxa" w:w="60"/>
              <w:left w:type="dxa" w:w="100"/>
              <w:bottom w:type="dxa" w:w="60"/>
              <w:right w:type="dxa" w:w="100"/>
            </w:tcMar>
          </w:tcPr>
          <w:p>
            <w:r>
              <w:t xml:space="preserve">Native Arm64 since 6.0; no emulation layer required</w:t>
            </w:r>
          </w:p>
        </w:tc>
      </w:tr>
      <w:tr>
        <w:trPr>
          <w:tblHeader w:val="false"/>
        </w:trPr>
        <w:tc>
          <w:tcPr>
            <w:tcW w:type="dxa" w:w="2400"/>
            <w:tcMar>
              <w:top w:type="dxa" w:w="60"/>
              <w:left w:type="dxa" w:w="100"/>
              <w:bottom w:type="dxa" w:w="60"/>
              <w:right w:type="dxa" w:w="100"/>
            </w:tcMar>
          </w:tcPr>
          <w:p>
            <w:r>
              <w:t xml:space="preserve">iPadOS</w:t>
            </w:r>
          </w:p>
        </w:tc>
        <w:tc>
          <w:tcPr>
            <w:tcW w:type="dxa" w:w="2600"/>
            <w:tcMar>
              <w:top w:type="dxa" w:w="60"/>
              <w:left w:type="dxa" w:w="100"/>
              <w:bottom w:type="dxa" w:w="60"/>
              <w:right w:type="dxa" w:w="100"/>
            </w:tcMar>
          </w:tcPr>
          <w:p>
            <w:r>
              <w:t xml:space="preserve">Fully supported</w:t>
            </w:r>
          </w:p>
        </w:tc>
        <w:tc>
          <w:tcPr>
            <w:tcW w:type="dxa" w:w="4360"/>
            <w:tcMar>
              <w:top w:type="dxa" w:w="60"/>
              <w:left w:type="dxa" w:w="100"/>
              <w:bottom w:type="dxa" w:w="60"/>
              <w:right w:type="dxa" w:w="100"/>
            </w:tcMar>
          </w:tcPr>
          <w:p>
            <w:r>
              <w:t xml:space="preserve">iPadOS 17 or later</w:t>
            </w:r>
          </w:p>
        </w:tc>
      </w:tr>
      <w:tr>
        <w:trPr>
          <w:tblHeader w:val="false"/>
        </w:trPr>
        <w:tc>
          <w:tcPr>
            <w:tcW w:type="dxa" w:w="2400"/>
            <w:shd w:fill="F3F4FA" w:color="auto" w:val="clear"/>
            <w:tcMar>
              <w:top w:type="dxa" w:w="60"/>
              <w:left w:type="dxa" w:w="100"/>
              <w:bottom w:type="dxa" w:w="60"/>
              <w:right w:type="dxa" w:w="100"/>
            </w:tcMar>
          </w:tcPr>
          <w:p>
            <w:r>
              <w:t xml:space="preserve">Android</w:t>
            </w:r>
          </w:p>
        </w:tc>
        <w:tc>
          <w:tcPr>
            <w:tcW w:type="dxa" w:w="2600"/>
            <w:shd w:fill="F3F4FA" w:color="auto" w:val="clear"/>
            <w:tcMar>
              <w:top w:type="dxa" w:w="60"/>
              <w:left w:type="dxa" w:w="100"/>
              <w:bottom w:type="dxa" w:w="60"/>
              <w:right w:type="dxa" w:w="100"/>
            </w:tcMar>
          </w:tcPr>
          <w:p>
            <w:r>
              <w:t xml:space="preserve">Limited</w:t>
            </w:r>
          </w:p>
        </w:tc>
        <w:tc>
          <w:tcPr>
            <w:tcW w:type="dxa" w:w="4360"/>
            <w:shd w:fill="F3F4FA" w:color="auto" w:val="clear"/>
            <w:tcMar>
              <w:top w:type="dxa" w:w="60"/>
              <w:left w:type="dxa" w:w="100"/>
              <w:bottom w:type="dxa" w:w="60"/>
              <w:right w:type="dxa" w:w="100"/>
            </w:tcMar>
          </w:tcPr>
          <w:p>
            <w:r>
              <w:t xml:space="preserve">Phones only, Android 13 or later; form completion and photos, no map editing</w:t>
            </w:r>
          </w:p>
        </w:tc>
      </w:tr>
      <w:tr>
        <w:trPr>
          <w:tblHeader w:val="false"/>
        </w:trPr>
        <w:tc>
          <w:tcPr>
            <w:tcW w:type="dxa" w:w="2400"/>
            <w:tcMar>
              <w:top w:type="dxa" w:w="60"/>
              <w:left w:type="dxa" w:w="100"/>
              <w:bottom w:type="dxa" w:w="60"/>
              <w:right w:type="dxa" w:w="100"/>
            </w:tcMar>
          </w:tcPr>
          <w:p>
            <w:r>
              <w:t xml:space="preserve">Web console</w:t>
            </w:r>
          </w:p>
        </w:tc>
        <w:tc>
          <w:tcPr>
            <w:tcW w:type="dxa" w:w="2600"/>
            <w:tcMar>
              <w:top w:type="dxa" w:w="60"/>
              <w:left w:type="dxa" w:w="100"/>
              <w:bottom w:type="dxa" w:w="60"/>
              <w:right w:type="dxa" w:w="100"/>
            </w:tcMar>
          </w:tcPr>
          <w:p>
            <w:r>
              <w:t xml:space="preserve">Fully supported</w:t>
            </w:r>
          </w:p>
        </w:tc>
        <w:tc>
          <w:tcPr>
            <w:tcW w:type="dxa" w:w="4360"/>
            <w:tcMar>
              <w:top w:type="dxa" w:w="60"/>
              <w:left w:type="dxa" w:w="100"/>
              <w:bottom w:type="dxa" w:w="60"/>
              <w:right w:type="dxa" w:w="100"/>
            </w:tcMar>
          </w:tcPr>
          <w:p>
            <w:r>
              <w:t xml:space="preserve">Current versions of Edge, Chrome and Safari</w:t>
            </w:r>
          </w:p>
        </w:tc>
      </w:tr>
    </w:tbl>
    <w:p>
      <w:pPr>
        <w:pStyle w:val="Heading1"/>
      </w:pPr>
      <w:r>
        <w:t xml:space="preserve">3. Field Capabilities</w:t>
      </w:r>
    </w:p>
    <w:p>
      <w:pPr>
        <w:pStyle w:val="Heading2"/>
      </w:pPr>
      <w:r>
        <w:t xml:space="preserve">3.1 Forms</w:t>
      </w:r>
    </w:p>
    <w:p>
      <w:pPr>
        <w:spacing w:after="140"/>
      </w:pPr>
      <w:r>
        <w:t xml:space="preserve">Administrators build forms in the form designer without code. Forms support more than 60 field types, conditional logic, required fields, picklists, calculated fields, repeatable sections and form versioning. Form content (labels, picklist values and help text) can be authored in any language. A typical utility configures 25 to 40 form templates during implementation.</w:t>
      </w:r>
    </w:p>
    <w:p>
      <w:pPr>
        <w:pStyle w:val="Heading2"/>
      </w:pPr>
      <w:r>
        <w:t xml:space="preserve">3.2 Photos and media</w:t>
      </w:r>
    </w:p>
    <w:p>
      <w:pPr>
        <w:spacing w:after="140"/>
      </w:pPr>
      <w:r>
        <w:t xml:space="preserve">Inspectors can attach up to </w:t>
      </w:r>
      <w:r>
        <w:rPr>
          <w:b/>
          <w:bCs/>
        </w:rPr>
        <w:t xml:space="preserve">50 photos per inspection</w:t>
      </w:r>
      <w:r>
        <w:t xml:space="preserve">. Each photo is stamped with GPS coordinates, date and time, and can be annotated on the device. Optional on-device compression reduces photos to 2 megapixels (about 1.2 MB each) before upload. Photos are stored in the application's private storage, not the device photo library.</w:t>
      </w:r>
    </w:p>
    <w:p>
      <w:pPr>
        <w:pStyle w:val="Heading2"/>
      </w:pPr>
      <w:r>
        <w:t xml:space="preserve">3.3 Other capture tools</w:t>
      </w:r>
    </w:p>
    <w:p>
      <w:pPr>
        <w:pStyle w:val="ListParagraph"/>
        <w:numPr>
          <w:ilvl w:val="0"/>
          <w:numId w:val="2"/>
        </w:numPr>
        <w:spacing w:after="60"/>
      </w:pPr>
      <w:r>
        <w:t xml:space="preserve">Barcode and QR code scanning of asset tags using the device camera.</w:t>
      </w:r>
    </w:p>
    <w:p>
      <w:pPr>
        <w:pStyle w:val="ListParagraph"/>
        <w:numPr>
          <w:ilvl w:val="0"/>
          <w:numId w:val="2"/>
        </w:numPr>
        <w:spacing w:after="60"/>
      </w:pPr>
      <w:r>
        <w:t xml:space="preserve">Digital signature capture.</w:t>
      </w:r>
    </w:p>
    <w:p>
      <w:pPr>
        <w:pStyle w:val="ListParagraph"/>
        <w:numPr>
          <w:ilvl w:val="0"/>
          <w:numId w:val="2"/>
        </w:numPr>
        <w:spacing w:after="60"/>
      </w:pPr>
      <w:r>
        <w:t xml:space="preserve">Map-based sketching and redlining on GIS layers (new in 6.2).</w:t>
      </w:r>
    </w:p>
    <w:p>
      <w:pPr>
        <w:pStyle w:val="ListParagraph"/>
        <w:numPr>
          <w:ilvl w:val="0"/>
          <w:numId w:val="2"/>
        </w:numPr>
        <w:spacing w:after="60"/>
      </w:pPr>
      <w:r>
        <w:t xml:space="preserve">Voice-to-text for inspection notes using the operating system's built-in dictation.</w:t>
      </w:r>
    </w:p>
    <w:p>
      <w:pPr>
        <w:pStyle w:val="Heading1"/>
      </w:pPr>
      <w:r>
        <w:t xml:space="preserve">4. Offline Operation and Synchronization</w:t>
      </w:r>
    </w:p>
    <w:p>
      <w:pPr>
        <w:spacing w:after="140"/>
      </w:pPr>
      <w:r>
        <w:t xml:space="preserve">The field application is designed for intermittent connectivity. Assigned work, form definitions, asset records and recent inspection history are cached on the device during each successful synchronization.</w:t>
      </w:r>
    </w:p>
    <w:p>
      <w:pPr>
        <w:spacing w:after="140"/>
      </w:pPr>
      <w:r>
        <w:rPr>
          <w:b/>
          <w:bCs/>
        </w:rPr>
        <w:t xml:space="preserve">Offline window.</w:t>
      </w:r>
      <w:r>
        <w:t xml:space="preserve"> Corvane Inspect supports full offline operation for </w:t>
      </w:r>
      <w:r>
        <w:rPr>
          <w:b/>
          <w:bCs/>
        </w:rPr>
        <w:t xml:space="preserve">up to 24 hours</w:t>
      </w:r>
      <w:r>
        <w:t xml:space="preserve"> after the last successful synchronization. When the 24-hour window expires, cached asset records and inspection history are locked: users can finish inspections that are already in progress, but cannot open additional asset records or view prior inspections until the device synchronizes again. The 24-hour window is fixed in 6.2 and is not configurable per tenant.</w:t>
      </w:r>
    </w:p>
    <w:p>
      <w:pPr>
        <w:spacing w:after="140"/>
      </w:pPr>
      <w:r>
        <w:rPr>
          <w:b/>
          <w:bCs/>
        </w:rPr>
        <w:t xml:space="preserve">Synchronization.</w:t>
      </w:r>
      <w:r>
        <w:t xml:space="preserve"> Changes synchronize automatically in the background when connectivity is available. Conflicts are resolved at the field level using last-writer-wins with supervisor review for flagged fields, and every change is recorded in an audit trail.</w:t>
      </w:r>
    </w:p>
    <w:p>
      <w:pPr>
        <w:spacing w:after="140"/>
      </w:pPr>
      <w:r>
        <w:rPr>
          <w:b/>
          <w:bCs/>
        </w:rPr>
        <w:t xml:space="preserve">Cache lifetime.</w:t>
      </w:r>
      <w:r>
        <w:t xml:space="preserve"> If a device has not synchronized for </w:t>
      </w:r>
      <w:r>
        <w:rPr>
          <w:b/>
          <w:bCs/>
        </w:rPr>
        <w:t xml:space="preserve">30 days</w:t>
      </w:r>
      <w:r>
        <w:t xml:space="preserve">, all cached data is purged from the device automatically. This value is fixed in 6.2.</w:t>
      </w:r>
    </w:p>
    <w:p>
      <w:pPr>
        <w:spacing w:after="140"/>
      </w:pPr>
      <w:r>
        <w:t xml:space="preserve">Extending the offline window beyond 24 hours is not on the committed roadmap. Engineering has estimated the work for customers that require a longer window (see Section 13).</w:t>
      </w:r>
    </w:p>
    <w:p>
      <w:pPr>
        <w:pStyle w:val="Heading1"/>
      </w:pPr>
      <w:r>
        <w:t xml:space="preserve">5.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shd w:fill="3B3B98" w:color="auto" w:val="clear"/>
            <w:tcMar>
              <w:top w:type="dxa" w:w="60"/>
              <w:left w:type="dxa" w:w="100"/>
              <w:bottom w:type="dxa" w:w="60"/>
              <w:right w:type="dxa" w:w="100"/>
            </w:tcMar>
          </w:tcPr>
          <w:p>
            <w:r>
              <w:rPr>
                <w:b/>
                <w:bCs/>
                <w:color w:val="FFFFFF"/>
              </w:rPr>
              <w:t xml:space="preserve">Integration</w:t>
            </w:r>
          </w:p>
        </w:tc>
        <w:tc>
          <w:tcPr>
            <w:tcW w:type="dxa" w:w="4160"/>
            <w:shd w:fill="3B3B98" w:color="auto" w:val="clear"/>
            <w:tcMar>
              <w:top w:type="dxa" w:w="60"/>
              <w:left w:type="dxa" w:w="100"/>
              <w:bottom w:type="dxa" w:w="60"/>
              <w:right w:type="dxa" w:w="100"/>
            </w:tcMar>
          </w:tcPr>
          <w:p>
            <w:r>
              <w:rPr>
                <w:b/>
                <w:bCs/>
                <w:color w:val="FFFFFF"/>
              </w:rPr>
              <w:t xml:space="preserve">Capability</w:t>
            </w:r>
          </w:p>
        </w:tc>
        <w:tc>
          <w:tcPr>
            <w:tcW w:type="dxa" w:w="2400"/>
            <w:shd w:fill="3B3B98" w:color="auto" w:val="clear"/>
            <w:tcMar>
              <w:top w:type="dxa" w:w="60"/>
              <w:left w:type="dxa" w:w="100"/>
              <w:bottom w:type="dxa" w:w="60"/>
              <w:right w:type="dxa" w:w="100"/>
            </w:tcMar>
          </w:tcPr>
          <w:p>
            <w:r>
              <w:rPr>
                <w:b/>
                <w:bCs/>
                <w:color w:val="FFFFFF"/>
              </w:rPr>
              <w:t xml:space="preserve">Licensing</w:t>
            </w:r>
          </w:p>
        </w:tc>
      </w:tr>
      <w:tr>
        <w:trPr>
          <w:tblHeader w:val="false"/>
        </w:trPr>
        <w:tc>
          <w:tcPr>
            <w:tcW w:type="dxa" w:w="2800"/>
            <w:tcMar>
              <w:top w:type="dxa" w:w="60"/>
              <w:left w:type="dxa" w:w="100"/>
              <w:bottom w:type="dxa" w:w="60"/>
              <w:right w:type="dxa" w:w="100"/>
            </w:tcMar>
          </w:tcPr>
          <w:p>
            <w:r>
              <w:t xml:space="preserve">Esri ArcGIS Enterprise 10.9.1 and 11.x</w:t>
            </w:r>
          </w:p>
        </w:tc>
        <w:tc>
          <w:tcPr>
            <w:tcW w:type="dxa" w:w="4160"/>
            <w:tcMar>
              <w:top w:type="dxa" w:w="60"/>
              <w:left w:type="dxa" w:w="100"/>
              <w:bottom w:type="dxa" w:w="60"/>
              <w:right w:type="dxa" w:w="100"/>
            </w:tcMar>
          </w:tcPr>
          <w:p>
            <w:r>
              <w:t xml:space="preserve">Two-way synchronization of asset layers and attributes; inspection locations published as a feature layer</w:t>
            </w:r>
          </w:p>
        </w:tc>
        <w:tc>
          <w:tcPr>
            <w:tcW w:type="dxa" w:w="2400"/>
            <w:tcMar>
              <w:top w:type="dxa" w:w="60"/>
              <w:left w:type="dxa" w:w="100"/>
              <w:bottom w:type="dxa" w:w="60"/>
              <w:right w:type="dxa" w:w="100"/>
            </w:tcMar>
          </w:tcPr>
          <w:p>
            <w:r>
              <w:t xml:space="preserve">GIS Connector add-on</w:t>
            </w:r>
          </w:p>
        </w:tc>
      </w:tr>
      <w:tr>
        <w:trPr>
          <w:tblHeader w:val="false"/>
        </w:trPr>
        <w:tc>
          <w:tcPr>
            <w:tcW w:type="dxa" w:w="2800"/>
            <w:shd w:fill="F3F4FA" w:color="auto" w:val="clear"/>
            <w:tcMar>
              <w:top w:type="dxa" w:w="60"/>
              <w:left w:type="dxa" w:w="100"/>
              <w:bottom w:type="dxa" w:w="60"/>
              <w:right w:type="dxa" w:w="100"/>
            </w:tcMar>
          </w:tcPr>
          <w:p>
            <w:r>
              <w:t xml:space="preserve">Esri ArcGIS Online</w:t>
            </w:r>
          </w:p>
        </w:tc>
        <w:tc>
          <w:tcPr>
            <w:tcW w:type="dxa" w:w="4160"/>
            <w:shd w:fill="F3F4FA" w:color="auto" w:val="clear"/>
            <w:tcMar>
              <w:top w:type="dxa" w:w="60"/>
              <w:left w:type="dxa" w:w="100"/>
              <w:bottom w:type="dxa" w:w="60"/>
              <w:right w:type="dxa" w:w="100"/>
            </w:tcMar>
          </w:tcPr>
          <w:p>
            <w:r>
              <w:t xml:space="preserve">Two-way synchronization</w:t>
            </w:r>
          </w:p>
        </w:tc>
        <w:tc>
          <w:tcPr>
            <w:tcW w:type="dxa" w:w="2400"/>
            <w:shd w:fill="F3F4FA" w:color="auto" w:val="clear"/>
            <w:tcMar>
              <w:top w:type="dxa" w:w="60"/>
              <w:left w:type="dxa" w:w="100"/>
              <w:bottom w:type="dxa" w:w="60"/>
              <w:right w:type="dxa" w:w="100"/>
            </w:tcMar>
          </w:tcPr>
          <w:p>
            <w:r>
              <w:t xml:space="preserve">GIS Connector add-on</w:t>
            </w:r>
          </w:p>
        </w:tc>
      </w:tr>
      <w:tr>
        <w:trPr>
          <w:tblHeader w:val="false"/>
        </w:trPr>
        <w:tc>
          <w:tcPr>
            <w:tcW w:type="dxa" w:w="2800"/>
            <w:tcMar>
              <w:top w:type="dxa" w:w="60"/>
              <w:left w:type="dxa" w:w="100"/>
              <w:bottom w:type="dxa" w:w="60"/>
              <w:right w:type="dxa" w:w="100"/>
            </w:tcMar>
          </w:tcPr>
          <w:p>
            <w:r>
              <w:t xml:space="preserve">IBM Maximo 7.6 and Maximo Application Suite 8</w:t>
            </w:r>
          </w:p>
        </w:tc>
        <w:tc>
          <w:tcPr>
            <w:tcW w:type="dxa" w:w="4160"/>
            <w:tcMar>
              <w:top w:type="dxa" w:w="60"/>
              <w:left w:type="dxa" w:w="100"/>
              <w:bottom w:type="dxa" w:w="60"/>
              <w:right w:type="dxa" w:w="100"/>
            </w:tcMar>
          </w:tcPr>
          <w:p>
            <w:r>
              <w:t xml:space="preserve">Create, update and close work orders; read asset hierarchy</w:t>
            </w:r>
          </w:p>
        </w:tc>
        <w:tc>
          <w:tcPr>
            <w:tcW w:type="dxa" w:w="2400"/>
            <w:tcMar>
              <w:top w:type="dxa" w:w="60"/>
              <w:left w:type="dxa" w:w="100"/>
              <w:bottom w:type="dxa" w:w="60"/>
              <w:right w:type="dxa" w:w="100"/>
            </w:tcMar>
          </w:tcPr>
          <w:p>
            <w:r>
              <w:t xml:space="preserve">Maximo Connector add-on</w:t>
            </w:r>
          </w:p>
        </w:tc>
      </w:tr>
      <w:tr>
        <w:trPr>
          <w:tblHeader w:val="false"/>
        </w:trPr>
        <w:tc>
          <w:tcPr>
            <w:tcW w:type="dxa" w:w="2800"/>
            <w:shd w:fill="F3F4FA" w:color="auto" w:val="clear"/>
            <w:tcMar>
              <w:top w:type="dxa" w:w="60"/>
              <w:left w:type="dxa" w:w="100"/>
              <w:bottom w:type="dxa" w:w="60"/>
              <w:right w:type="dxa" w:w="100"/>
            </w:tcMar>
          </w:tcPr>
          <w:p>
            <w:r>
              <w:t xml:space="preserve">REST API and webhooks</w:t>
            </w:r>
          </w:p>
        </w:tc>
        <w:tc>
          <w:tcPr>
            <w:tcW w:type="dxa" w:w="4160"/>
            <w:shd w:fill="F3F4FA" w:color="auto" w:val="clear"/>
            <w:tcMar>
              <w:top w:type="dxa" w:w="60"/>
              <w:left w:type="dxa" w:w="100"/>
              <w:bottom w:type="dxa" w:w="60"/>
              <w:right w:type="dxa" w:w="100"/>
            </w:tcMar>
          </w:tcPr>
          <w:p>
            <w:r>
              <w:t xml:space="preserve">Read and write inspections, assets and users</w:t>
            </w:r>
          </w:p>
        </w:tc>
        <w:tc>
          <w:tcPr>
            <w:tcW w:type="dxa" w:w="2400"/>
            <w:shd w:fill="F3F4FA" w:color="auto" w:val="clear"/>
            <w:tcMar>
              <w:top w:type="dxa" w:w="60"/>
              <w:left w:type="dxa" w:w="100"/>
              <w:bottom w:type="dxa" w:w="60"/>
              <w:right w:type="dxa" w:w="100"/>
            </w:tcMar>
          </w:tcPr>
          <w:p>
            <w:r>
              <w:t xml:space="preserve">Included</w:t>
            </w:r>
          </w:p>
        </w:tc>
      </w:tr>
      <w:tr>
        <w:trPr>
          <w:tblHeader w:val="false"/>
        </w:trPr>
        <w:tc>
          <w:tcPr>
            <w:tcW w:type="dxa" w:w="2800"/>
            <w:tcMar>
              <w:top w:type="dxa" w:w="60"/>
              <w:left w:type="dxa" w:w="100"/>
              <w:bottom w:type="dxa" w:w="60"/>
              <w:right w:type="dxa" w:w="100"/>
            </w:tcMar>
          </w:tcPr>
          <w:p>
            <w:r>
              <w:t xml:space="preserve">CSV and PDF export</w:t>
            </w:r>
          </w:p>
        </w:tc>
        <w:tc>
          <w:tcPr>
            <w:tcW w:type="dxa" w:w="4160"/>
            <w:tcMar>
              <w:top w:type="dxa" w:w="60"/>
              <w:left w:type="dxa" w:w="100"/>
              <w:bottom w:type="dxa" w:w="60"/>
              <w:right w:type="dxa" w:w="100"/>
            </w:tcMar>
          </w:tcPr>
          <w:p>
            <w:r>
              <w:t xml:space="preserve">Manual and scheduled export of inspection data</w:t>
            </w:r>
          </w:p>
        </w:tc>
        <w:tc>
          <w:tcPr>
            <w:tcW w:type="dxa" w:w="2400"/>
            <w:tcMar>
              <w:top w:type="dxa" w:w="60"/>
              <w:left w:type="dxa" w:w="100"/>
              <w:bottom w:type="dxa" w:w="60"/>
              <w:right w:type="dxa" w:w="100"/>
            </w:tcMar>
          </w:tcPr>
          <w:p>
            <w:r>
              <w:t xml:space="preserve">Included</w:t>
            </w:r>
          </w:p>
        </w:tc>
      </w:tr>
    </w:tbl>
    <w:p>
      <w:pPr>
        <w:pStyle w:val="Heading1"/>
      </w:pPr>
      <w:r>
        <w:t xml:space="preserve">6. Reporting and Dashboards</w:t>
      </w:r>
    </w:p>
    <w:p>
      <w:pPr>
        <w:spacing w:after="140"/>
      </w:pPr>
      <w:r>
        <w:t xml:space="preserve">The web console includes supervisor dashboards for inspection progress, overdue inspections, exceptions and crew productivity, filterable by crew, asset class and date. Reports can be exported to CSV or PDF on demand or delivered by email on a schedule (daily, weekly or monthly).</w:t>
      </w:r>
    </w:p>
    <w:p>
      <w:pPr>
        <w:pStyle w:val="Heading1"/>
      </w:pPr>
      <w:r>
        <w:t xml:space="preserve">7. Identity and Access</w:t>
      </w:r>
    </w:p>
    <w:p>
      <w:pPr>
        <w:pStyle w:val="Heading2"/>
      </w:pPr>
      <w:r>
        <w:t xml:space="preserve">7.1 Single sign-on and MFA</w:t>
      </w:r>
    </w:p>
    <w:p>
      <w:pPr>
        <w:spacing w:after="140"/>
      </w:pPr>
      <w:r>
        <w:t xml:space="preserve">Corvane Inspect supports single sign-on using </w:t>
      </w:r>
      <w:r>
        <w:rPr>
          <w:b/>
          <w:bCs/>
        </w:rPr>
        <w:t xml:space="preserve">SAML 2.0</w:t>
      </w:r>
      <w:r>
        <w:t xml:space="preserve"> with Microsoft Entra ID, Okta and Ping Identity. Multi-factor authentication is enforced by the customer's identity provider. Local passwords can be disabled for all users of a tenant.</w:t>
      </w:r>
    </w:p>
    <w:p>
      <w:pPr>
        <w:pStyle w:val="Heading2"/>
      </w:pPr>
      <w:r>
        <w:t xml:space="preserve">7.2 User provisioning</w:t>
      </w:r>
    </w:p>
    <w:p>
      <w:pPr>
        <w:spacing w:after="140"/>
      </w:pPr>
      <w:r>
        <w:t xml:space="preserve">Users are provisioned </w:t>
      </w:r>
      <w:r>
        <w:rPr>
          <w:b/>
          <w:bCs/>
        </w:rPr>
        <w:t xml:space="preserve">just in time</w:t>
      </w:r>
      <w:r>
        <w:t xml:space="preserve"> on their first SAML sign-in, or in bulk through </w:t>
      </w:r>
      <w:r>
        <w:rPr>
          <w:b/>
          <w:bCs/>
        </w:rPr>
        <w:t xml:space="preserve">CSV import</w:t>
      </w:r>
      <w:r>
        <w:t xml:space="preserve"> in the web console. Deprovisioning is performed by a tenant administrator in the web console or by CSV import. Disabling a user in the identity provider prevents new sign-ins, but existing sessions on field devices remain valid until the session expires (up to 7 days) or the administrator disables the user in Corvane Inspect.</w:t>
      </w:r>
    </w:p>
    <w:p>
      <w:pPr>
        <w:spacing w:after="140"/>
      </w:pPr>
      <w:r>
        <w:rPr>
          <w:b/>
          <w:bCs/>
        </w:rPr>
        <w:t xml:space="preserve">SCIM 2.0</w:t>
      </w:r>
      <w:r>
        <w:t xml:space="preserve"> provisioning is </w:t>
      </w:r>
      <w:r>
        <w:rPr>
          <w:b/>
          <w:bCs/>
        </w:rPr>
        <w:t xml:space="preserve">not supported</w:t>
      </w:r>
      <w:r>
        <w:t xml:space="preserve"> in 6.2. SCIM is on the roadmap for the first half of 2027 and is not yet committed to a specific release.</w:t>
      </w:r>
    </w:p>
    <w:p>
      <w:pPr>
        <w:pStyle w:val="Heading2"/>
      </w:pPr>
      <w:r>
        <w:t xml:space="preserve">7.3 Roles</w:t>
      </w:r>
    </w:p>
    <w:p>
      <w:pPr>
        <w:spacing w:after="140"/>
      </w:pPr>
      <w:r>
        <w:t xml:space="preserve">Role-based access control includes Field User, Crew Lead, Supervisor, Analyst and Administrator roles, with optional restrictions by asset class and service area. Administrators can export a user and role report at any time.</w:t>
      </w:r>
    </w:p>
    <w:p>
      <w:pPr>
        <w:pStyle w:val="Heading2"/>
      </w:pPr>
      <w:r>
        <w:t xml:space="preserve">7.4 AI Assist</w:t>
      </w:r>
    </w:p>
    <w:p>
      <w:pPr>
        <w:spacing w:after="140"/>
      </w:pPr>
      <w:r>
        <w:t xml:space="preserve">AI Assist suggests form fields while administrators design forms and generates summaries of inspection notes for supervisors. AI Assist sends the relevant form definitions and inspection notes to a </w:t>
      </w:r>
      <w:r>
        <w:rPr>
          <w:b/>
          <w:bCs/>
        </w:rPr>
        <w:t xml:space="preserve">third-party cloud large language model provider</w:t>
      </w:r>
      <w:r>
        <w:t xml:space="preserve"> listed as a subprocessor in Appendix A. Customer content is not used to train the provider's models. </w:t>
      </w:r>
      <w:r>
        <w:rPr>
          <w:b/>
          <w:bCs/>
        </w:rPr>
        <w:t xml:space="preserve">AI Assist is enabled by default for new tenants</w:t>
      </w:r>
      <w:r>
        <w:t xml:space="preserve"> and can be disabled by a tenant administrator in Settings.</w:t>
      </w:r>
    </w:p>
    <w:p>
      <w:pPr>
        <w:pStyle w:val="Heading1"/>
      </w:pPr>
      <w:r>
        <w:t xml:space="preserve">8. Security</w:t>
      </w:r>
    </w:p>
    <w:p>
      <w:pPr>
        <w:pStyle w:val="Heading2"/>
      </w:pPr>
      <w:r>
        <w:t xml:space="preserve">8.1 Encryption and key management</w:t>
      </w:r>
    </w:p>
    <w:p>
      <w:pPr>
        <w:spacing w:after="140"/>
      </w:pPr>
      <w:r>
        <w:t xml:space="preserve">Customer data is encrypted at rest with AES-256 and in transit with TLS 1.2 or higher. Encryption keys are </w:t>
      </w:r>
      <w:r>
        <w:rPr>
          <w:b/>
          <w:bCs/>
        </w:rPr>
        <w:t xml:space="preserve">managed by Corvane</w:t>
      </w:r>
      <w:r>
        <w:t xml:space="preserve"> in AWS Key Management Service, with a separate data key for each tenant. </w:t>
      </w:r>
      <w:r>
        <w:rPr>
          <w:b/>
          <w:bCs/>
        </w:rPr>
        <w:t xml:space="preserve">Customer-managed keys are not supported.</w:t>
      </w:r>
      <w:r>
        <w:t xml:space="preserve"> Support for customer-managed keys is under evaluation and has no committed date.</w:t>
      </w:r>
    </w:p>
    <w:p>
      <w:pPr>
        <w:pStyle w:val="Heading2"/>
      </w:pPr>
      <w:r>
        <w:t xml:space="preserve">8.2 Hosting and data location</w:t>
      </w:r>
    </w:p>
    <w:p>
      <w:pPr>
        <w:spacing w:after="140"/>
      </w:pPr>
      <w:r>
        <w:t xml:space="preserve">Corvane Inspect is hosted on Amazon Web Services in the us-west-2 (Oregon) region, with disaster recovery in us-east-2 (Ohio). Customer data is stored and processed only in these US regions. Recovery point objective is 1 hour and recovery time objective is 8 hours.</w:t>
      </w:r>
    </w:p>
    <w:p>
      <w:pPr>
        <w:pStyle w:val="Heading2"/>
      </w:pPr>
      <w:r>
        <w:t xml:space="preserve">8.3 Assurance</w:t>
      </w:r>
    </w:p>
    <w:p>
      <w:pPr>
        <w:spacing w:after="140"/>
      </w:pPr>
      <w:r>
        <w:t xml:space="preserve">Corvane maintains a </w:t>
      </w:r>
      <w:r>
        <w:rPr>
          <w:b/>
          <w:bCs/>
        </w:rPr>
        <w:t xml:space="preserve">SOC 2 Type II</w:t>
      </w:r>
      <w:r>
        <w:t xml:space="preserve"> report covering security, availability and confidentiality; the most recent report covers the period ending June 30, 2026. An independent penetration test is performed annually, and a summary letter is available to customers under NDA.</w:t>
      </w:r>
    </w:p>
    <w:p>
      <w:pPr>
        <w:pStyle w:val="Heading2"/>
      </w:pPr>
      <w:r>
        <w:t xml:space="preserve">8.4 Mobile device security</w:t>
      </w:r>
    </w:p>
    <w:p>
      <w:pPr>
        <w:spacing w:after="140"/>
      </w:pPr>
      <w:r>
        <w:t xml:space="preserve">Data stored on field devices is encrypted using the platform's secure storage. Administrators can remotely wipe Corvane Inspect data from a lost device. Cached data is purged after 30 days without synchronization (see Section 4).</w:t>
      </w:r>
    </w:p>
    <w:p>
      <w:pPr>
        <w:pStyle w:val="Heading2"/>
      </w:pPr>
      <w:r>
        <w:t xml:space="preserve">8.5 Support access to customer data</w:t>
      </w:r>
    </w:p>
    <w:p>
      <w:pPr>
        <w:spacing w:after="140"/>
      </w:pPr>
      <w:r>
        <w:t xml:space="preserve">Tier 1 support is provided from Denver, Colorado. </w:t>
      </w:r>
      <w:r>
        <w:rPr>
          <w:b/>
          <w:bCs/>
        </w:rPr>
        <w:t xml:space="preserve">Tier 2 support engineers are located in Denver and in Dublin, Ireland.</w:t>
      </w:r>
      <w:r>
        <w:t xml:space="preserve"> Tier 2 engineers may access a customer's production tenant during a support session after the customer approves the session in the web console. All support sessions are logged.</w:t>
      </w:r>
    </w:p>
    <w:p>
      <w:pPr>
        <w:pStyle w:val="Heading2"/>
      </w:pPr>
      <w:r>
        <w:t xml:space="preserve">8.6 Security incident notification</w:t>
      </w:r>
    </w:p>
    <w:p>
      <w:pPr>
        <w:spacing w:after="140"/>
      </w:pPr>
      <w:r>
        <w:t xml:space="preserve">Corvane notifies affected customers of a confirmed security incident involving customer data </w:t>
      </w:r>
      <w:r>
        <w:rPr>
          <w:b/>
          <w:bCs/>
        </w:rPr>
        <w:t xml:space="preserve">within five (5) business days of confirmation</w:t>
      </w:r>
      <w:r>
        <w:t xml:space="preserve">, followed by a written incident report within 30 days.</w:t>
      </w:r>
    </w:p>
    <w:p>
      <w:pPr>
        <w:pStyle w:val="Heading2"/>
      </w:pPr>
      <w:r>
        <w:t xml:space="preserve">8.7 Subprocessors</w:t>
      </w:r>
    </w:p>
    <w:p>
      <w:pPr>
        <w:spacing w:after="140"/>
      </w:pPr>
      <w:r>
        <w:t xml:space="preserve">Corvane maintains a public subprocessor list (Appendix A) and notifies customers at least 30 days before adding a subprocessor that will process customer data.</w:t>
      </w:r>
    </w:p>
    <w:p>
      <w:pPr>
        <w:pStyle w:val="Heading1"/>
      </w:pPr>
      <w:r>
        <w:t xml:space="preserve">9. Data Retention and Return</w:t>
      </w:r>
    </w:p>
    <w:p>
      <w:pPr>
        <w:spacing w:after="140"/>
      </w:pPr>
      <w:r>
        <w:t xml:space="preserve">Inspection records and photos are retained for </w:t>
      </w:r>
      <w:r>
        <w:rPr>
          <w:b/>
          <w:bCs/>
        </w:rPr>
        <w:t xml:space="preserve">five (5) years</w:t>
      </w:r>
      <w:r>
        <w:t xml:space="preserve"> by default. The </w:t>
      </w:r>
      <w:r>
        <w:rPr>
          <w:b/>
          <w:bCs/>
        </w:rPr>
        <w:t xml:space="preserve">Archive add-on</w:t>
      </w:r>
      <w:r>
        <w:t xml:space="preserve"> extends retention to up to ten (10) years, with full search and retrieval in the web console. On termination, Corvane returns customer data as CSV files and original-format photos within 30 days and certifies deletion within a further 30 days.</w:t>
      </w:r>
    </w:p>
    <w:p>
      <w:pPr>
        <w:pStyle w:val="Heading1"/>
      </w:pPr>
      <w:r>
        <w:t xml:space="preserve">10. Localization</w:t>
      </w:r>
    </w:p>
    <w:p>
      <w:pPr>
        <w:spacing w:after="140"/>
      </w:pPr>
      <w:r>
        <w:t xml:space="preserve">The field application and web console user interface are available in </w:t>
      </w:r>
      <w:r>
        <w:rPr>
          <w:b/>
          <w:bCs/>
        </w:rPr>
        <w:t xml:space="preserve">English (United States) only</w:t>
      </w:r>
      <w:r>
        <w:t xml:space="preserve">. Customers can author form content in any language today, so questions and picklists can be bilingual, but menus, buttons, system messages and help remain in English.</w:t>
      </w:r>
    </w:p>
    <w:p>
      <w:pPr>
        <w:spacing w:after="140"/>
      </w:pPr>
      <w:r>
        <w:t xml:space="preserve">A </w:t>
      </w:r>
      <w:r>
        <w:rPr>
          <w:b/>
          <w:bCs/>
        </w:rPr>
        <w:t xml:space="preserve">Spanish (United States)</w:t>
      </w:r>
      <w:r>
        <w:t xml:space="preserve"> user interface for the field application is planned for </w:t>
      </w:r>
      <w:r>
        <w:rPr>
          <w:b/>
          <w:bCs/>
        </w:rPr>
        <w:t xml:space="preserve">version 7.0, expected in Q2 2027</w:t>
      </w:r>
      <w:r>
        <w:t xml:space="preserve">. The localization work can be accelerated for a specific customer commitment (see Section 13).</w:t>
      </w:r>
    </w:p>
    <w:p>
      <w:pPr>
        <w:pStyle w:val="Heading1"/>
      </w:pPr>
      <w:r>
        <w:t xml:space="preserve">11. Performance and Battery Use</w:t>
      </w:r>
    </w:p>
    <w:p>
      <w:pPr>
        <w:spacing w:after="140"/>
      </w:pPr>
      <w:r>
        <w:t xml:space="preserve">Battery use depends heavily on whether background location tracking is enabled. Background location records the inspector's route at one location fix every 10 seconds and is used for route playback and automatic asset proximity alerts. Corvane measured battery use on reference 12-inch Windows and iPad tablets at 60% screen brightness during a simulated inspection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shd w:fill="3B3B98" w:color="auto" w:val="clear"/>
            <w:tcMar>
              <w:top w:type="dxa" w:w="60"/>
              <w:left w:type="dxa" w:w="100"/>
              <w:bottom w:type="dxa" w:w="60"/>
              <w:right w:type="dxa" w:w="100"/>
            </w:tcMar>
          </w:tcPr>
          <w:p>
            <w:r>
              <w:rPr>
                <w:b/>
                <w:bCs/>
                <w:color w:val="FFFFFF"/>
              </w:rPr>
              <w:t xml:space="preserve">Configuration</w:t>
            </w:r>
          </w:p>
        </w:tc>
        <w:tc>
          <w:tcPr>
            <w:tcW w:type="dxa" w:w="2400"/>
            <w:shd w:fill="3B3B98" w:color="auto" w:val="clear"/>
            <w:tcMar>
              <w:top w:type="dxa" w:w="60"/>
              <w:left w:type="dxa" w:w="100"/>
              <w:bottom w:type="dxa" w:w="60"/>
              <w:right w:type="dxa" w:w="100"/>
            </w:tcMar>
          </w:tcPr>
          <w:p>
            <w:r>
              <w:rPr>
                <w:b/>
                <w:bCs/>
                <w:color w:val="FFFFFF"/>
              </w:rPr>
              <w:t xml:space="preserve">Battery used per hour</w:t>
            </w:r>
          </w:p>
        </w:tc>
        <w:tc>
          <w:tcPr>
            <w:tcW w:type="dxa" w:w="3160"/>
            <w:shd w:fill="3B3B98" w:color="auto" w:val="clear"/>
            <w:tcMar>
              <w:top w:type="dxa" w:w="60"/>
              <w:left w:type="dxa" w:w="100"/>
              <w:bottom w:type="dxa" w:w="60"/>
              <w:right w:type="dxa" w:w="100"/>
            </w:tcMar>
          </w:tcPr>
          <w:p>
            <w:r>
              <w:rPr>
                <w:b/>
                <w:bCs/>
                <w:color w:val="FFFFFF"/>
              </w:rPr>
              <w:t xml:space="preserve">Typical runtime from full charge</w:t>
            </w:r>
          </w:p>
        </w:tc>
      </w:tr>
      <w:tr>
        <w:trPr>
          <w:tblHeader w:val="false"/>
        </w:trPr>
        <w:tc>
          <w:tcPr>
            <w:tcW w:type="dxa" w:w="3800"/>
            <w:tcMar>
              <w:top w:type="dxa" w:w="60"/>
              <w:left w:type="dxa" w:w="100"/>
              <w:bottom w:type="dxa" w:w="60"/>
              <w:right w:type="dxa" w:w="100"/>
            </w:tcMar>
          </w:tcPr>
          <w:p>
            <w:r>
              <w:t xml:space="preserve">Active use, background location on</w:t>
            </w:r>
          </w:p>
        </w:tc>
        <w:tc>
          <w:tcPr>
            <w:tcW w:type="dxa" w:w="2400"/>
            <w:tcMar>
              <w:top w:type="dxa" w:w="60"/>
              <w:left w:type="dxa" w:w="100"/>
              <w:bottom w:type="dxa" w:w="60"/>
              <w:right w:type="dxa" w:w="100"/>
            </w:tcMar>
          </w:tcPr>
          <w:p>
            <w:r>
              <w:t xml:space="preserve">8% to 12%</w:t>
            </w:r>
          </w:p>
        </w:tc>
        <w:tc>
          <w:tcPr>
            <w:tcW w:type="dxa" w:w="3160"/>
            <w:tcMar>
              <w:top w:type="dxa" w:w="60"/>
              <w:left w:type="dxa" w:w="100"/>
              <w:bottom w:type="dxa" w:w="60"/>
              <w:right w:type="dxa" w:w="100"/>
            </w:tcMar>
          </w:tcPr>
          <w:p>
            <w:r>
              <w:t xml:space="preserve">About 8 to 12 hours</w:t>
            </w:r>
          </w:p>
        </w:tc>
      </w:tr>
      <w:tr>
        <w:trPr>
          <w:tblHeader w:val="false"/>
        </w:trPr>
        <w:tc>
          <w:tcPr>
            <w:tcW w:type="dxa" w:w="3800"/>
            <w:shd w:fill="F3F4FA" w:color="auto" w:val="clear"/>
            <w:tcMar>
              <w:top w:type="dxa" w:w="60"/>
              <w:left w:type="dxa" w:w="100"/>
              <w:bottom w:type="dxa" w:w="60"/>
              <w:right w:type="dxa" w:w="100"/>
            </w:tcMar>
          </w:tcPr>
          <w:p>
            <w:r>
              <w:t xml:space="preserve">Active use, background location off</w:t>
            </w:r>
          </w:p>
        </w:tc>
        <w:tc>
          <w:tcPr>
            <w:tcW w:type="dxa" w:w="2400"/>
            <w:shd w:fill="F3F4FA" w:color="auto" w:val="clear"/>
            <w:tcMar>
              <w:top w:type="dxa" w:w="60"/>
              <w:left w:type="dxa" w:w="100"/>
              <w:bottom w:type="dxa" w:w="60"/>
              <w:right w:type="dxa" w:w="100"/>
            </w:tcMar>
          </w:tcPr>
          <w:p>
            <w:r>
              <w:t xml:space="preserve">4% to 6%</w:t>
            </w:r>
          </w:p>
        </w:tc>
        <w:tc>
          <w:tcPr>
            <w:tcW w:type="dxa" w:w="3160"/>
            <w:shd w:fill="F3F4FA" w:color="auto" w:val="clear"/>
            <w:tcMar>
              <w:top w:type="dxa" w:w="60"/>
              <w:left w:type="dxa" w:w="100"/>
              <w:bottom w:type="dxa" w:w="60"/>
              <w:right w:type="dxa" w:w="100"/>
            </w:tcMar>
          </w:tcPr>
          <w:p>
            <w:r>
              <w:t xml:space="preserve">More than 14 hours</w:t>
            </w:r>
          </w:p>
        </w:tc>
      </w:tr>
      <w:tr>
        <w:trPr>
          <w:tblHeader w:val="false"/>
        </w:trPr>
        <w:tc>
          <w:tcPr>
            <w:tcW w:type="dxa" w:w="3800"/>
            <w:tcMar>
              <w:top w:type="dxa" w:w="60"/>
              <w:left w:type="dxa" w:w="100"/>
              <w:bottom w:type="dxa" w:w="60"/>
              <w:right w:type="dxa" w:w="100"/>
            </w:tcMar>
          </w:tcPr>
          <w:p>
            <w:r>
              <w:t xml:space="preserve">Low-power location mode (planned 6.3, Q1 2027)</w:t>
            </w:r>
          </w:p>
        </w:tc>
        <w:tc>
          <w:tcPr>
            <w:tcW w:type="dxa" w:w="2400"/>
            <w:tcMar>
              <w:top w:type="dxa" w:w="60"/>
              <w:left w:type="dxa" w:w="100"/>
              <w:bottom w:type="dxa" w:w="60"/>
              <w:right w:type="dxa" w:w="100"/>
            </w:tcMar>
          </w:tcPr>
          <w:p>
            <w:r>
              <w:t xml:space="preserve">4% to 6% (target)</w:t>
            </w:r>
          </w:p>
        </w:tc>
        <w:tc>
          <w:tcPr>
            <w:tcW w:type="dxa" w:w="3160"/>
            <w:tcMar>
              <w:top w:type="dxa" w:w="60"/>
              <w:left w:type="dxa" w:w="100"/>
              <w:bottom w:type="dxa" w:w="60"/>
              <w:right w:type="dxa" w:w="100"/>
            </w:tcMar>
          </w:tcPr>
          <w:p>
            <w:r>
              <w:t xml:space="preserve">More than 14 hours (target)</w:t>
            </w:r>
          </w:p>
        </w:tc>
      </w:tr>
    </w:tbl>
    <w:p>
      <w:pPr>
        <w:spacing w:after="120"/>
      </w:pPr>
    </w:p>
    <w:p>
      <w:pPr>
        <w:spacing w:after="140"/>
      </w:pPr>
      <w:r>
        <w:t xml:space="preserve">Results vary by device, brightness, cellular signal strength and temperature. Customers with long shifts are advised to disable background location or provide vehicle charging until low-power location mode is available. Photo uploads over LTE average 6 to 9 seconds per compressed photo.</w:t>
      </w:r>
    </w:p>
    <w:p>
      <w:pPr>
        <w:pStyle w:val="Heading1"/>
      </w:pPr>
      <w:r>
        <w:t xml:space="preserve">12. Service Levels and Support</w:t>
      </w:r>
    </w:p>
    <w:p>
      <w:pPr>
        <w:pStyle w:val="ListParagraph"/>
        <w:numPr>
          <w:ilvl w:val="0"/>
          <w:numId w:val="2"/>
        </w:numPr>
        <w:spacing w:after="60"/>
      </w:pPr>
      <w:r>
        <w:t xml:space="preserve">Availability commitment: </w:t>
      </w:r>
      <w:r>
        <w:rPr>
          <w:b/>
          <w:bCs/>
        </w:rPr>
        <w:t xml:space="preserve">99.9% per calendar month</w:t>
      </w:r>
      <w:r>
        <w:t xml:space="preserve">, excluding scheduled maintenance windows (Sundays 1:00 to 5:00 AM Pacific). Service credits of 5% to 25% of the monthly fee apply below the target.</w:t>
      </w:r>
    </w:p>
    <w:p>
      <w:pPr>
        <w:pStyle w:val="ListParagraph"/>
        <w:numPr>
          <w:ilvl w:val="0"/>
          <w:numId w:val="2"/>
        </w:numPr>
        <w:spacing w:after="60"/>
      </w:pPr>
      <w:r>
        <w:t xml:space="preserve">Standard support hours: </w:t>
      </w:r>
      <w:r>
        <w:rPr>
          <w:b/>
          <w:bCs/>
        </w:rPr>
        <w:t xml:space="preserve">6:00 AM to 6:00 PM Pacific, Monday through Friday</w:t>
      </w:r>
      <w:r>
        <w:t xml:space="preserve">, by phone, email and portal.</w:t>
      </w:r>
    </w:p>
    <w:p>
      <w:pPr>
        <w:pStyle w:val="ListParagraph"/>
        <w:numPr>
          <w:ilvl w:val="0"/>
          <w:numId w:val="2"/>
        </w:numPr>
        <w:spacing w:after="60"/>
      </w:pPr>
      <w:r>
        <w:t xml:space="preserve">Severity 1 incidents (service unavailable): 24x7 response within 1 hour.</w:t>
      </w:r>
    </w:p>
    <w:p>
      <w:pPr>
        <w:pStyle w:val="ListParagraph"/>
        <w:numPr>
          <w:ilvl w:val="0"/>
          <w:numId w:val="2"/>
        </w:numPr>
        <w:spacing w:after="60"/>
      </w:pPr>
      <w:r>
        <w:t xml:space="preserve">Major releases twice per year; maintenance releases monthly.</w:t>
      </w:r>
    </w:p>
    <w:p>
      <w:pPr>
        <w:pStyle w:val="Heading1"/>
      </w:pPr>
      <w:r>
        <w:t xml:space="preserve">13. Implementation</w:t>
      </w:r>
    </w:p>
    <w:p>
      <w:pPr>
        <w:spacing w:after="140"/>
      </w:pPr>
      <w:r>
        <w:t xml:space="preserve">A standard implementation takes </w:t>
      </w:r>
      <w:r>
        <w:rPr>
          <w:b/>
          <w:bCs/>
        </w:rPr>
        <w:t xml:space="preserve">16 weeks (112 calendar days)</w:t>
      </w:r>
      <w:r>
        <w:t xml:space="preserve"> from kickoff to production go-live for customers with up to 300 field users, one GIS integration and one maintenance management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shd w:fill="3B3B98" w:color="auto" w:val="clear"/>
            <w:tcMar>
              <w:top w:type="dxa" w:w="60"/>
              <w:left w:type="dxa" w:w="100"/>
              <w:bottom w:type="dxa" w:w="60"/>
              <w:right w:type="dxa" w:w="100"/>
            </w:tcMar>
          </w:tcPr>
          <w:p>
            <w:r>
              <w:rPr>
                <w:b/>
                <w:bCs/>
                <w:color w:val="FFFFFF"/>
              </w:rPr>
              <w:t xml:space="preserve">Phase</w:t>
            </w:r>
          </w:p>
        </w:tc>
        <w:tc>
          <w:tcPr>
            <w:tcW w:type="dxa" w:w="1200"/>
            <w:shd w:fill="3B3B98" w:color="auto" w:val="clear"/>
            <w:tcMar>
              <w:top w:type="dxa" w:w="60"/>
              <w:left w:type="dxa" w:w="100"/>
              <w:bottom w:type="dxa" w:w="60"/>
              <w:right w:type="dxa" w:w="100"/>
            </w:tcMar>
          </w:tcPr>
          <w:p>
            <w:r>
              <w:rPr>
                <w:b/>
                <w:bCs/>
                <w:color w:val="FFFFFF"/>
              </w:rPr>
              <w:t xml:space="preserve">Weeks</w:t>
            </w:r>
          </w:p>
        </w:tc>
        <w:tc>
          <w:tcPr>
            <w:tcW w:type="dxa" w:w="5360"/>
            <w:shd w:fill="3B3B98" w:color="auto" w:val="clear"/>
            <w:tcMar>
              <w:top w:type="dxa" w:w="60"/>
              <w:left w:type="dxa" w:w="100"/>
              <w:bottom w:type="dxa" w:w="60"/>
              <w:right w:type="dxa" w:w="100"/>
            </w:tcMar>
          </w:tcPr>
          <w:p>
            <w:r>
              <w:rPr>
                <w:b/>
                <w:bCs/>
                <w:color w:val="FFFFFF"/>
              </w:rPr>
              <w:t xml:space="preserve">Activities</w:t>
            </w:r>
          </w:p>
        </w:tc>
      </w:tr>
      <w:tr>
        <w:trPr>
          <w:tblHeader w:val="false"/>
        </w:trPr>
        <w:tc>
          <w:tcPr>
            <w:tcW w:type="dxa" w:w="2800"/>
            <w:tcMar>
              <w:top w:type="dxa" w:w="60"/>
              <w:left w:type="dxa" w:w="100"/>
              <w:bottom w:type="dxa" w:w="60"/>
              <w:right w:type="dxa" w:w="100"/>
            </w:tcMar>
          </w:tcPr>
          <w:p>
            <w:r>
              <w:t xml:space="preserve">Discovery and design</w:t>
            </w:r>
          </w:p>
        </w:tc>
        <w:tc>
          <w:tcPr>
            <w:tcW w:type="dxa" w:w="1200"/>
            <w:tcMar>
              <w:top w:type="dxa" w:w="60"/>
              <w:left w:type="dxa" w:w="100"/>
              <w:bottom w:type="dxa" w:w="60"/>
              <w:right w:type="dxa" w:w="100"/>
            </w:tcMar>
          </w:tcPr>
          <w:p>
            <w:r>
              <w:t xml:space="preserve">1 to 3</w:t>
            </w:r>
          </w:p>
        </w:tc>
        <w:tc>
          <w:tcPr>
            <w:tcW w:type="dxa" w:w="5360"/>
            <w:tcMar>
              <w:top w:type="dxa" w:w="60"/>
              <w:left w:type="dxa" w:w="100"/>
              <w:bottom w:type="dxa" w:w="60"/>
              <w:right w:type="dxa" w:w="100"/>
            </w:tcMar>
          </w:tcPr>
          <w:p>
            <w:r>
              <w:t xml:space="preserve">Workshops, form inventory, integration design, data migration plan</w:t>
            </w:r>
          </w:p>
        </w:tc>
      </w:tr>
      <w:tr>
        <w:trPr>
          <w:tblHeader w:val="false"/>
        </w:trPr>
        <w:tc>
          <w:tcPr>
            <w:tcW w:type="dxa" w:w="2800"/>
            <w:shd w:fill="F3F4FA" w:color="auto" w:val="clear"/>
            <w:tcMar>
              <w:top w:type="dxa" w:w="60"/>
              <w:left w:type="dxa" w:w="100"/>
              <w:bottom w:type="dxa" w:w="60"/>
              <w:right w:type="dxa" w:w="100"/>
            </w:tcMar>
          </w:tcPr>
          <w:p>
            <w:r>
              <w:t xml:space="preserve">Configuration</w:t>
            </w:r>
          </w:p>
        </w:tc>
        <w:tc>
          <w:tcPr>
            <w:tcW w:type="dxa" w:w="1200"/>
            <w:shd w:fill="F3F4FA" w:color="auto" w:val="clear"/>
            <w:tcMar>
              <w:top w:type="dxa" w:w="60"/>
              <w:left w:type="dxa" w:w="100"/>
              <w:bottom w:type="dxa" w:w="60"/>
              <w:right w:type="dxa" w:w="100"/>
            </w:tcMar>
          </w:tcPr>
          <w:p>
            <w:r>
              <w:t xml:space="preserve">4 to 8</w:t>
            </w:r>
          </w:p>
        </w:tc>
        <w:tc>
          <w:tcPr>
            <w:tcW w:type="dxa" w:w="5360"/>
            <w:shd w:fill="F3F4FA" w:color="auto" w:val="clear"/>
            <w:tcMar>
              <w:top w:type="dxa" w:w="60"/>
              <w:left w:type="dxa" w:w="100"/>
              <w:bottom w:type="dxa" w:w="60"/>
              <w:right w:type="dxa" w:w="100"/>
            </w:tcMar>
          </w:tcPr>
          <w:p>
            <w:r>
              <w:t xml:space="preserve">Form build, roles, GIS and CMMS connectors, SSO</w:t>
            </w:r>
          </w:p>
        </w:tc>
      </w:tr>
      <w:tr>
        <w:trPr>
          <w:tblHeader w:val="false"/>
        </w:trPr>
        <w:tc>
          <w:tcPr>
            <w:tcW w:type="dxa" w:w="2800"/>
            <w:tcMar>
              <w:top w:type="dxa" w:w="60"/>
              <w:left w:type="dxa" w:w="100"/>
              <w:bottom w:type="dxa" w:w="60"/>
              <w:right w:type="dxa" w:w="100"/>
            </w:tcMar>
          </w:tcPr>
          <w:p>
            <w:r>
              <w:t xml:space="preserve">Migration and testing</w:t>
            </w:r>
          </w:p>
        </w:tc>
        <w:tc>
          <w:tcPr>
            <w:tcW w:type="dxa" w:w="1200"/>
            <w:tcMar>
              <w:top w:type="dxa" w:w="60"/>
              <w:left w:type="dxa" w:w="100"/>
              <w:bottom w:type="dxa" w:w="60"/>
              <w:right w:type="dxa" w:w="100"/>
            </w:tcMar>
          </w:tcPr>
          <w:p>
            <w:r>
              <w:t xml:space="preserve">9 to 12</w:t>
            </w:r>
          </w:p>
        </w:tc>
        <w:tc>
          <w:tcPr>
            <w:tcW w:type="dxa" w:w="5360"/>
            <w:tcMar>
              <w:top w:type="dxa" w:w="60"/>
              <w:left w:type="dxa" w:w="100"/>
              <w:bottom w:type="dxa" w:w="60"/>
              <w:right w:type="dxa" w:w="100"/>
            </w:tcMar>
          </w:tcPr>
          <w:p>
            <w:r>
              <w:t xml:space="preserve">Historical data migration, integration testing, user acceptance testing</w:t>
            </w:r>
          </w:p>
        </w:tc>
      </w:tr>
      <w:tr>
        <w:trPr>
          <w:tblHeader w:val="false"/>
        </w:trPr>
        <w:tc>
          <w:tcPr>
            <w:tcW w:type="dxa" w:w="2800"/>
            <w:shd w:fill="F3F4FA" w:color="auto" w:val="clear"/>
            <w:tcMar>
              <w:top w:type="dxa" w:w="60"/>
              <w:left w:type="dxa" w:w="100"/>
              <w:bottom w:type="dxa" w:w="60"/>
              <w:right w:type="dxa" w:w="100"/>
            </w:tcMar>
          </w:tcPr>
          <w:p>
            <w:r>
              <w:t xml:space="preserve">Training</w:t>
            </w:r>
          </w:p>
        </w:tc>
        <w:tc>
          <w:tcPr>
            <w:tcW w:type="dxa" w:w="1200"/>
            <w:shd w:fill="F3F4FA" w:color="auto" w:val="clear"/>
            <w:tcMar>
              <w:top w:type="dxa" w:w="60"/>
              <w:left w:type="dxa" w:w="100"/>
              <w:bottom w:type="dxa" w:w="60"/>
              <w:right w:type="dxa" w:w="100"/>
            </w:tcMar>
          </w:tcPr>
          <w:p>
            <w:r>
              <w:t xml:space="preserve">12 to 15</w:t>
            </w:r>
          </w:p>
        </w:tc>
        <w:tc>
          <w:tcPr>
            <w:tcW w:type="dxa" w:w="5360"/>
            <w:shd w:fill="F3F4FA" w:color="auto" w:val="clear"/>
            <w:tcMar>
              <w:top w:type="dxa" w:w="60"/>
              <w:left w:type="dxa" w:w="100"/>
              <w:bottom w:type="dxa" w:w="60"/>
              <w:right w:type="dxa" w:w="100"/>
            </w:tcMar>
          </w:tcPr>
          <w:p>
            <w:r>
              <w:t xml:space="preserve">Train-the-trainer, on-site field sessions</w:t>
            </w:r>
          </w:p>
        </w:tc>
      </w:tr>
      <w:tr>
        <w:trPr>
          <w:tblHeader w:val="false"/>
        </w:trPr>
        <w:tc>
          <w:tcPr>
            <w:tcW w:type="dxa" w:w="2800"/>
            <w:tcMar>
              <w:top w:type="dxa" w:w="60"/>
              <w:left w:type="dxa" w:w="100"/>
              <w:bottom w:type="dxa" w:w="60"/>
              <w:right w:type="dxa" w:w="100"/>
            </w:tcMar>
          </w:tcPr>
          <w:p>
            <w:r>
              <w:t xml:space="preserve">Go-live and hypercare</w:t>
            </w:r>
          </w:p>
        </w:tc>
        <w:tc>
          <w:tcPr>
            <w:tcW w:type="dxa" w:w="1200"/>
            <w:tcMar>
              <w:top w:type="dxa" w:w="60"/>
              <w:left w:type="dxa" w:w="100"/>
              <w:bottom w:type="dxa" w:w="60"/>
              <w:right w:type="dxa" w:w="100"/>
            </w:tcMar>
          </w:tcPr>
          <w:p>
            <w:r>
              <w:t xml:space="preserve">16</w:t>
            </w:r>
          </w:p>
        </w:tc>
        <w:tc>
          <w:tcPr>
            <w:tcW w:type="dxa" w:w="5360"/>
            <w:tcMar>
              <w:top w:type="dxa" w:w="60"/>
              <w:left w:type="dxa" w:w="100"/>
              <w:bottom w:type="dxa" w:w="60"/>
              <w:right w:type="dxa" w:w="100"/>
            </w:tcMar>
          </w:tcPr>
          <w:p>
            <w:r>
              <w:t xml:space="preserve">Production cutover and two weeks of hypercare</w:t>
            </w:r>
          </w:p>
        </w:tc>
      </w:tr>
    </w:tbl>
    <w:p>
      <w:pPr>
        <w:spacing w:after="120"/>
      </w:pPr>
    </w:p>
    <w:p>
      <w:pPr>
        <w:pStyle w:val="Heading2"/>
      </w:pPr>
      <w:r>
        <w:t xml:space="preserve">13.1 Roadmap and custom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shd w:fill="3B3B98" w:color="auto" w:val="clear"/>
            <w:tcMar>
              <w:top w:type="dxa" w:w="60"/>
              <w:left w:type="dxa" w:w="100"/>
              <w:bottom w:type="dxa" w:w="60"/>
              <w:right w:type="dxa" w:w="100"/>
            </w:tcMar>
          </w:tcPr>
          <w:p>
            <w:r>
              <w:rPr>
                <w:b/>
                <w:bCs/>
                <w:color w:val="FFFFFF"/>
              </w:rPr>
              <w:t xml:space="preserve">Capability</w:t>
            </w:r>
          </w:p>
        </w:tc>
        <w:tc>
          <w:tcPr>
            <w:tcW w:type="dxa" w:w="2600"/>
            <w:shd w:fill="3B3B98" w:color="auto" w:val="clear"/>
            <w:tcMar>
              <w:top w:type="dxa" w:w="60"/>
              <w:left w:type="dxa" w:w="100"/>
              <w:bottom w:type="dxa" w:w="60"/>
              <w:right w:type="dxa" w:w="100"/>
            </w:tcMar>
          </w:tcPr>
          <w:p>
            <w:r>
              <w:rPr>
                <w:b/>
                <w:bCs/>
                <w:color w:val="FFFFFF"/>
              </w:rPr>
              <w:t xml:space="preserve">Status</w:t>
            </w:r>
          </w:p>
        </w:tc>
        <w:tc>
          <w:tcPr>
            <w:tcW w:type="dxa" w:w="3360"/>
            <w:shd w:fill="3B3B98" w:color="auto" w:val="clear"/>
            <w:tcMar>
              <w:top w:type="dxa" w:w="60"/>
              <w:left w:type="dxa" w:w="100"/>
              <w:bottom w:type="dxa" w:w="60"/>
              <w:right w:type="dxa" w:w="100"/>
            </w:tcMar>
          </w:tcPr>
          <w:p>
            <w:r>
              <w:rPr>
                <w:b/>
                <w:bCs/>
                <w:color w:val="FFFFFF"/>
              </w:rPr>
              <w:t xml:space="preserve">Timing</w:t>
            </w:r>
          </w:p>
        </w:tc>
      </w:tr>
      <w:tr>
        <w:trPr>
          <w:tblHeader w:val="false"/>
        </w:trPr>
        <w:tc>
          <w:tcPr>
            <w:tcW w:type="dxa" w:w="3400"/>
            <w:tcMar>
              <w:top w:type="dxa" w:w="60"/>
              <w:left w:type="dxa" w:w="100"/>
              <w:bottom w:type="dxa" w:w="60"/>
              <w:right w:type="dxa" w:w="100"/>
            </w:tcMar>
          </w:tcPr>
          <w:p>
            <w:r>
              <w:t xml:space="preserve">Low-power location mode</w:t>
            </w:r>
          </w:p>
        </w:tc>
        <w:tc>
          <w:tcPr>
            <w:tcW w:type="dxa" w:w="2600"/>
            <w:tcMar>
              <w:top w:type="dxa" w:w="60"/>
              <w:left w:type="dxa" w:w="100"/>
              <w:bottom w:type="dxa" w:w="60"/>
              <w:right w:type="dxa" w:w="100"/>
            </w:tcMar>
          </w:tcPr>
          <w:p>
            <w:r>
              <w:t xml:space="preserve">Committed</w:t>
            </w:r>
          </w:p>
        </w:tc>
        <w:tc>
          <w:tcPr>
            <w:tcW w:type="dxa" w:w="3360"/>
            <w:tcMar>
              <w:top w:type="dxa" w:w="60"/>
              <w:left w:type="dxa" w:w="100"/>
              <w:bottom w:type="dxa" w:w="60"/>
              <w:right w:type="dxa" w:w="100"/>
            </w:tcMar>
          </w:tcPr>
          <w:p>
            <w:r>
              <w:t xml:space="preserve">Release 6.3, Q1 2027</w:t>
            </w:r>
          </w:p>
        </w:tc>
      </w:tr>
      <w:tr>
        <w:trPr>
          <w:tblHeader w:val="false"/>
        </w:trPr>
        <w:tc>
          <w:tcPr>
            <w:tcW w:type="dxa" w:w="3400"/>
            <w:shd w:fill="F3F4FA" w:color="auto" w:val="clear"/>
            <w:tcMar>
              <w:top w:type="dxa" w:w="60"/>
              <w:left w:type="dxa" w:w="100"/>
              <w:bottom w:type="dxa" w:w="60"/>
              <w:right w:type="dxa" w:w="100"/>
            </w:tcMar>
          </w:tcPr>
          <w:p>
            <w:r>
              <w:t xml:space="preserve">SCIM 2.0 provisioning</w:t>
            </w:r>
          </w:p>
        </w:tc>
        <w:tc>
          <w:tcPr>
            <w:tcW w:type="dxa" w:w="2600"/>
            <w:shd w:fill="F3F4FA" w:color="auto" w:val="clear"/>
            <w:tcMar>
              <w:top w:type="dxa" w:w="60"/>
              <w:left w:type="dxa" w:w="100"/>
              <w:bottom w:type="dxa" w:w="60"/>
              <w:right w:type="dxa" w:w="100"/>
            </w:tcMar>
          </w:tcPr>
          <w:p>
            <w:r>
              <w:t xml:space="preserve">Planned, not committed</w:t>
            </w:r>
          </w:p>
        </w:tc>
        <w:tc>
          <w:tcPr>
            <w:tcW w:type="dxa" w:w="3360"/>
            <w:shd w:fill="F3F4FA" w:color="auto" w:val="clear"/>
            <w:tcMar>
              <w:top w:type="dxa" w:w="60"/>
              <w:left w:type="dxa" w:w="100"/>
              <w:bottom w:type="dxa" w:w="60"/>
              <w:right w:type="dxa" w:w="100"/>
            </w:tcMar>
          </w:tcPr>
          <w:p>
            <w:r>
              <w:t xml:space="preserve">H1 2027</w:t>
            </w:r>
          </w:p>
        </w:tc>
      </w:tr>
      <w:tr>
        <w:trPr>
          <w:tblHeader w:val="false"/>
        </w:trPr>
        <w:tc>
          <w:tcPr>
            <w:tcW w:type="dxa" w:w="3400"/>
            <w:tcMar>
              <w:top w:type="dxa" w:w="60"/>
              <w:left w:type="dxa" w:w="100"/>
              <w:bottom w:type="dxa" w:w="60"/>
              <w:right w:type="dxa" w:w="100"/>
            </w:tcMar>
          </w:tcPr>
          <w:p>
            <w:r>
              <w:t xml:space="preserve">Spanish user interface</w:t>
            </w:r>
          </w:p>
        </w:tc>
        <w:tc>
          <w:tcPr>
            <w:tcW w:type="dxa" w:w="2600"/>
            <w:tcMar>
              <w:top w:type="dxa" w:w="60"/>
              <w:left w:type="dxa" w:w="100"/>
              <w:bottom w:type="dxa" w:w="60"/>
              <w:right w:type="dxa" w:w="100"/>
            </w:tcMar>
          </w:tcPr>
          <w:p>
            <w:r>
              <w:t xml:space="preserve">Committed</w:t>
            </w:r>
          </w:p>
        </w:tc>
        <w:tc>
          <w:tcPr>
            <w:tcW w:type="dxa" w:w="3360"/>
            <w:tcMar>
              <w:top w:type="dxa" w:w="60"/>
              <w:left w:type="dxa" w:w="100"/>
              <w:bottom w:type="dxa" w:w="60"/>
              <w:right w:type="dxa" w:w="100"/>
            </w:tcMar>
          </w:tcPr>
          <w:p>
            <w:r>
              <w:t xml:space="preserve">Release 7.0, Q2 2027; can be accelerated for a customer commitment</w:t>
            </w:r>
          </w:p>
        </w:tc>
      </w:tr>
      <w:tr>
        <w:trPr>
          <w:tblHeader w:val="false"/>
        </w:trPr>
        <w:tc>
          <w:tcPr>
            <w:tcW w:type="dxa" w:w="3400"/>
            <w:shd w:fill="F3F4FA" w:color="auto" w:val="clear"/>
            <w:tcMar>
              <w:top w:type="dxa" w:w="60"/>
              <w:left w:type="dxa" w:w="100"/>
              <w:bottom w:type="dxa" w:w="60"/>
              <w:right w:type="dxa" w:w="100"/>
            </w:tcMar>
          </w:tcPr>
          <w:p>
            <w:r>
              <w:t xml:space="preserve">Offline window longer than 24 hours</w:t>
            </w:r>
          </w:p>
        </w:tc>
        <w:tc>
          <w:tcPr>
            <w:tcW w:type="dxa" w:w="2600"/>
            <w:shd w:fill="F3F4FA" w:color="auto" w:val="clear"/>
            <w:tcMar>
              <w:top w:type="dxa" w:w="60"/>
              <w:left w:type="dxa" w:w="100"/>
              <w:bottom w:type="dxa" w:w="60"/>
              <w:right w:type="dxa" w:w="100"/>
            </w:tcMar>
          </w:tcPr>
          <w:p>
            <w:r>
              <w:t xml:space="preserve">Not on roadmap</w:t>
            </w:r>
          </w:p>
        </w:tc>
        <w:tc>
          <w:tcPr>
            <w:tcW w:type="dxa" w:w="3360"/>
            <w:shd w:fill="F3F4FA" w:color="auto" w:val="clear"/>
            <w:tcMar>
              <w:top w:type="dxa" w:w="60"/>
              <w:left w:type="dxa" w:w="100"/>
              <w:bottom w:type="dxa" w:w="60"/>
              <w:right w:type="dxa" w:w="100"/>
            </w:tcMar>
          </w:tcPr>
          <w:p>
            <w:r>
              <w:t xml:space="preserve">Engineering estimate available on request</w:t>
            </w:r>
          </w:p>
        </w:tc>
      </w:tr>
      <w:tr>
        <w:trPr>
          <w:tblHeader w:val="false"/>
        </w:trPr>
        <w:tc>
          <w:tcPr>
            <w:tcW w:type="dxa" w:w="3400"/>
            <w:tcMar>
              <w:top w:type="dxa" w:w="60"/>
              <w:left w:type="dxa" w:w="100"/>
              <w:bottom w:type="dxa" w:w="60"/>
              <w:right w:type="dxa" w:w="100"/>
            </w:tcMar>
          </w:tcPr>
          <w:p>
            <w:r>
              <w:t xml:space="preserve">Customer-managed encryption keys</w:t>
            </w:r>
          </w:p>
        </w:tc>
        <w:tc>
          <w:tcPr>
            <w:tcW w:type="dxa" w:w="2600"/>
            <w:tcMar>
              <w:top w:type="dxa" w:w="60"/>
              <w:left w:type="dxa" w:w="100"/>
              <w:bottom w:type="dxa" w:w="60"/>
              <w:right w:type="dxa" w:w="100"/>
            </w:tcMar>
          </w:tcPr>
          <w:p>
            <w:r>
              <w:t xml:space="preserve">Under evaluation</w:t>
            </w:r>
          </w:p>
        </w:tc>
        <w:tc>
          <w:tcPr>
            <w:tcW w:type="dxa" w:w="3360"/>
            <w:tcMar>
              <w:top w:type="dxa" w:w="60"/>
              <w:left w:type="dxa" w:w="100"/>
              <w:bottom w:type="dxa" w:w="60"/>
              <w:right w:type="dxa" w:w="100"/>
            </w:tcMar>
          </w:tcPr>
          <w:p>
            <w:r>
              <w:t xml:space="preserve">No committed date</w:t>
            </w:r>
          </w:p>
        </w:tc>
      </w:tr>
    </w:tbl>
    <w:p>
      <w:pPr>
        <w:pStyle w:val="Heading1"/>
      </w:pPr>
      <w:r>
        <w:t xml:space="preserve">Appendix A. Subprocessors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shd w:fill="3B3B98" w:color="auto" w:val="clear"/>
            <w:tcMar>
              <w:top w:type="dxa" w:w="60"/>
              <w:left w:type="dxa" w:w="100"/>
              <w:bottom w:type="dxa" w:w="60"/>
              <w:right w:type="dxa" w:w="100"/>
            </w:tcMar>
          </w:tcPr>
          <w:p>
            <w:r>
              <w:rPr>
                <w:b/>
                <w:bCs/>
                <w:color w:val="FFFFFF"/>
              </w:rPr>
              <w:t xml:space="preserve">Subprocessor</w:t>
            </w:r>
          </w:p>
        </w:tc>
        <w:tc>
          <w:tcPr>
            <w:tcW w:type="dxa" w:w="3800"/>
            <w:shd w:fill="3B3B98" w:color="auto" w:val="clear"/>
            <w:tcMar>
              <w:top w:type="dxa" w:w="60"/>
              <w:left w:type="dxa" w:w="100"/>
              <w:bottom w:type="dxa" w:w="60"/>
              <w:right w:type="dxa" w:w="100"/>
            </w:tcMar>
          </w:tcPr>
          <w:p>
            <w:r>
              <w:rPr>
                <w:b/>
                <w:bCs/>
                <w:color w:val="FFFFFF"/>
              </w:rPr>
              <w:t xml:space="preserve">Purpose</w:t>
            </w:r>
          </w:p>
        </w:tc>
        <w:tc>
          <w:tcPr>
            <w:tcW w:type="dxa" w:w="2560"/>
            <w:shd w:fill="3B3B98" w:color="auto" w:val="clear"/>
            <w:tcMar>
              <w:top w:type="dxa" w:w="60"/>
              <w:left w:type="dxa" w:w="100"/>
              <w:bottom w:type="dxa" w:w="60"/>
              <w:right w:type="dxa" w:w="100"/>
            </w:tcMar>
          </w:tcPr>
          <w:p>
            <w:r>
              <w:rPr>
                <w:b/>
                <w:bCs/>
                <w:color w:val="FFFFFF"/>
              </w:rPr>
              <w:t xml:space="preserve">Location</w:t>
            </w:r>
          </w:p>
        </w:tc>
      </w:tr>
      <w:tr>
        <w:trPr>
          <w:tblHeader w:val="false"/>
        </w:trPr>
        <w:tc>
          <w:tcPr>
            <w:tcW w:type="dxa" w:w="3000"/>
            <w:tcMar>
              <w:top w:type="dxa" w:w="60"/>
              <w:left w:type="dxa" w:w="100"/>
              <w:bottom w:type="dxa" w:w="60"/>
              <w:right w:type="dxa" w:w="100"/>
            </w:tcMar>
          </w:tcPr>
          <w:p>
            <w:r>
              <w:t xml:space="preserve">Amazon Web Services</w:t>
            </w:r>
          </w:p>
        </w:tc>
        <w:tc>
          <w:tcPr>
            <w:tcW w:type="dxa" w:w="3800"/>
            <w:tcMar>
              <w:top w:type="dxa" w:w="60"/>
              <w:left w:type="dxa" w:w="100"/>
              <w:bottom w:type="dxa" w:w="60"/>
              <w:right w:type="dxa" w:w="100"/>
            </w:tcMar>
          </w:tcPr>
          <w:p>
            <w:r>
              <w:t xml:space="preserve">Hosting, storage, key management</w:t>
            </w:r>
          </w:p>
        </w:tc>
        <w:tc>
          <w:tcPr>
            <w:tcW w:type="dxa" w:w="2560"/>
            <w:tcMar>
              <w:top w:type="dxa" w:w="60"/>
              <w:left w:type="dxa" w:w="100"/>
              <w:bottom w:type="dxa" w:w="60"/>
              <w:right w:type="dxa" w:w="100"/>
            </w:tcMar>
          </w:tcPr>
          <w:p>
            <w:r>
              <w:t xml:space="preserve">United States</w:t>
            </w:r>
          </w:p>
        </w:tc>
      </w:tr>
      <w:tr>
        <w:trPr>
          <w:tblHeader w:val="false"/>
        </w:trPr>
        <w:tc>
          <w:tcPr>
            <w:tcW w:type="dxa" w:w="3000"/>
            <w:shd w:fill="F3F4FA" w:color="auto" w:val="clear"/>
            <w:tcMar>
              <w:top w:type="dxa" w:w="60"/>
              <w:left w:type="dxa" w:w="100"/>
              <w:bottom w:type="dxa" w:w="60"/>
              <w:right w:type="dxa" w:w="100"/>
            </w:tcMar>
          </w:tcPr>
          <w:p>
            <w:r>
              <w:t xml:space="preserve">Email delivery provider</w:t>
            </w:r>
          </w:p>
        </w:tc>
        <w:tc>
          <w:tcPr>
            <w:tcW w:type="dxa" w:w="3800"/>
            <w:shd w:fill="F3F4FA" w:color="auto" w:val="clear"/>
            <w:tcMar>
              <w:top w:type="dxa" w:w="60"/>
              <w:left w:type="dxa" w:w="100"/>
              <w:bottom w:type="dxa" w:w="60"/>
              <w:right w:type="dxa" w:w="100"/>
            </w:tcMar>
          </w:tcPr>
          <w:p>
            <w:r>
              <w:t xml:space="preserve">Scheduled reports and notifications</w:t>
            </w:r>
          </w:p>
        </w:tc>
        <w:tc>
          <w:tcPr>
            <w:tcW w:type="dxa" w:w="2560"/>
            <w:shd w:fill="F3F4FA" w:color="auto" w:val="clear"/>
            <w:tcMar>
              <w:top w:type="dxa" w:w="60"/>
              <w:left w:type="dxa" w:w="100"/>
              <w:bottom w:type="dxa" w:w="60"/>
              <w:right w:type="dxa" w:w="100"/>
            </w:tcMar>
          </w:tcPr>
          <w:p>
            <w:r>
              <w:t xml:space="preserve">United States</w:t>
            </w:r>
          </w:p>
        </w:tc>
      </w:tr>
      <w:tr>
        <w:trPr>
          <w:tblHeader w:val="false"/>
        </w:trPr>
        <w:tc>
          <w:tcPr>
            <w:tcW w:type="dxa" w:w="3000"/>
            <w:tcMar>
              <w:top w:type="dxa" w:w="60"/>
              <w:left w:type="dxa" w:w="100"/>
              <w:bottom w:type="dxa" w:w="60"/>
              <w:right w:type="dxa" w:w="100"/>
            </w:tcMar>
          </w:tcPr>
          <w:p>
            <w:r>
              <w:t xml:space="preserve">Large language model provider</w:t>
            </w:r>
          </w:p>
        </w:tc>
        <w:tc>
          <w:tcPr>
            <w:tcW w:type="dxa" w:w="3800"/>
            <w:tcMar>
              <w:top w:type="dxa" w:w="60"/>
              <w:left w:type="dxa" w:w="100"/>
              <w:bottom w:type="dxa" w:w="60"/>
              <w:right w:type="dxa" w:w="100"/>
            </w:tcMar>
          </w:tcPr>
          <w:p>
            <w:r>
              <w:t xml:space="preserve">AI Assist (form suggestions, note summaries)</w:t>
            </w:r>
          </w:p>
        </w:tc>
        <w:tc>
          <w:tcPr>
            <w:tcW w:type="dxa" w:w="2560"/>
            <w:tcMar>
              <w:top w:type="dxa" w:w="60"/>
              <w:left w:type="dxa" w:w="100"/>
              <w:bottom w:type="dxa" w:w="60"/>
              <w:right w:type="dxa" w:w="100"/>
            </w:tcMar>
          </w:tcPr>
          <w:p>
            <w:r>
              <w:t xml:space="preserve">United States</w:t>
            </w:r>
          </w:p>
        </w:tc>
      </w:tr>
      <w:tr>
        <w:trPr>
          <w:tblHeader w:val="false"/>
        </w:trPr>
        <w:tc>
          <w:tcPr>
            <w:tcW w:type="dxa" w:w="3000"/>
            <w:shd w:fill="F3F4FA" w:color="auto" w:val="clear"/>
            <w:tcMar>
              <w:top w:type="dxa" w:w="60"/>
              <w:left w:type="dxa" w:w="100"/>
              <w:bottom w:type="dxa" w:w="60"/>
              <w:right w:type="dxa" w:w="100"/>
            </w:tcMar>
          </w:tcPr>
          <w:p>
            <w:r>
              <w:t xml:space="preserve">Corvane Systems Ireland Ltd.</w:t>
            </w:r>
          </w:p>
        </w:tc>
        <w:tc>
          <w:tcPr>
            <w:tcW w:type="dxa" w:w="3800"/>
            <w:shd w:fill="F3F4FA" w:color="auto" w:val="clear"/>
            <w:tcMar>
              <w:top w:type="dxa" w:w="60"/>
              <w:left w:type="dxa" w:w="100"/>
              <w:bottom w:type="dxa" w:w="60"/>
              <w:right w:type="dxa" w:w="100"/>
            </w:tcMar>
          </w:tcPr>
          <w:p>
            <w:r>
              <w:t xml:space="preserve">Tier 2 support</w:t>
            </w:r>
          </w:p>
        </w:tc>
        <w:tc>
          <w:tcPr>
            <w:tcW w:type="dxa" w:w="2560"/>
            <w:shd w:fill="F3F4FA" w:color="auto" w:val="clear"/>
            <w:tcMar>
              <w:top w:type="dxa" w:w="60"/>
              <w:left w:type="dxa" w:w="100"/>
              <w:bottom w:type="dxa" w:w="60"/>
              <w:right w:type="dxa" w:w="100"/>
            </w:tcMar>
          </w:tcPr>
          <w:p>
            <w:r>
              <w:t xml:space="preserve">Ireland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5"/>
        <w:szCs w:val="15"/>
      </w:rPr>
      <w:t xml:space="preserve">Fictional sample document for product demonstration. All names, organizations and figures are invented.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Corvane Inspect 6.2 Product Specification  |  CS-SPEC-062 Rev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3B3B98"/>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Corvane Inspect 6.2 Product Specification</dc:title>
  <dc:creator>Corvane Systems</dc:creator>
  <cp:lastModifiedBy>Un-named</cp:lastModifiedBy>
  <cp:revision>1</cp:revision>
  <dcterms:created xsi:type="dcterms:W3CDTF">2026-10-03T21:33:27.275Z</dcterms:created>
  <dcterms:modified xsi:type="dcterms:W3CDTF">2026-10-03T21:33:27.277Z</dcterms:modified>
</cp:coreProperties>
</file>

<file path=docProps/custom.xml><?xml version="1.0" encoding="utf-8"?>
<Properties xmlns="http://schemas.openxmlformats.org/officeDocument/2006/custom-properties" xmlns:vt="http://schemas.openxmlformats.org/officeDocument/2006/docPropsVTypes"/>
</file>