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rFonts w:ascii="Arial" w:cs="Arial" w:eastAsia="Arial" w:hAnsi="Arial"/>
          <w:b/>
          <w:bCs/>
          <w:color w:val="0B5563"/>
          <w:sz w:val="64"/>
          <w:szCs w:val="64"/>
        </w:rPr>
        <w:t xml:space="preserve">TOKENOMICS WORKSHOP</w:t>
      </w:r>
    </w:p>
    <w:p>
      <w:pPr>
        <w:spacing w:after="0" w:before="120"/>
      </w:pPr>
      <w:r>
        <w:rPr>
          <w:rFonts w:ascii="Arial" w:cs="Arial" w:eastAsia="Arial" w:hAnsi="Arial"/>
          <w:color w:val="1A1A1A"/>
          <w:sz w:val="40"/>
          <w:szCs w:val="40"/>
        </w:rPr>
        <w:t xml:space="preserve">Facilitator Guide</w:t>
      </w:r>
    </w:p>
    <w:p>
      <w:pPr>
        <w:pBdr>
          <w:bottom w:val="single" w:color="13808E" w:sz="12" w:space="8"/>
        </w:pBdr>
        <w:spacing w:before="360"/>
      </w:pPr>
    </w:p>
    <w:p>
      <w:pPr>
        <w:spacing w:before="280"/>
      </w:pPr>
      <w:r>
        <w:rPr>
          <w:rFonts w:ascii="Arial" w:cs="Arial" w:eastAsia="Arial" w:hAnsi="Arial"/>
          <w:i/>
          <w:iCs/>
          <w:color w:val="5A5A5A"/>
          <w:sz w:val="24"/>
          <w:szCs w:val="24"/>
        </w:rPr>
        <w:t xml:space="preserve">A no-cost, vendor-neutral session that gives a cross-functional team a clear, practical foundation for managing the cost, accountability, and value of AI token spend.</w:t>
      </w:r>
    </w:p>
    <w:p>
      <w:pPr>
        <w:spacing w:before="1400"/>
      </w:pPr>
      <w:r>
        <w:rPr>
          <w:rFonts w:ascii="Arial" w:cs="Arial" w:eastAsia="Arial" w:hAnsi="Arial"/>
          <w:color w:val="5A5A5A"/>
          <w:sz w:val="20"/>
          <w:szCs w:val="20"/>
        </w:rPr>
        <w:t xml:space="preserve">Duration: 2.5 hours (flexes to 2 or 3)   |   Audience: Mixed / cross-functional   |   Format: In-person or virtual</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How to use this guide</w:t>
      </w:r>
    </w:p>
    <w:p>
      <w:pPr>
        <w:spacing w:after="120" w:before="0"/>
      </w:pPr>
      <w:r>
        <w:rPr>
          <w:rFonts w:ascii="Arial" w:cs="Arial" w:eastAsia="Arial" w:hAnsi="Arial"/>
          <w:color w:val="1A1A1A"/>
          <w:sz w:val="22"/>
          <w:szCs w:val="22"/>
        </w:rPr>
        <w:t xml:space="preserve">This guide is written to teach you the material as you prepare, not just to cue you on the day. If you come from a cloud or FinOps background, you already own most of the operating instincts this workshop relies on — cost allocation, showback and chargeback, unit economics, vendor commitment management. What is new is the AI-specific layer underneath: how tokens are billed, why the same instincts need re-tuning, and where the numbers sit today. Wherever that AI layer appears, this guide bridges it back to a FinOps idea you already trust.</w:t>
      </w:r>
    </w:p>
    <w:p>
      <w:pPr>
        <w:spacing w:after="40" w:before="160"/>
      </w:pPr>
      <w:r>
        <w:rPr>
          <w:rFonts w:ascii="Arial" w:cs="Arial" w:eastAsia="Arial" w:hAnsi="Arial"/>
          <w:b/>
          <w:bCs/>
          <w:color w:val="13808E"/>
          <w:sz w:val="19"/>
          <w:szCs w:val="19"/>
        </w:rPr>
        <w:t xml:space="preserve">HOW THE GUIDE IS STRUCTURED</w:t>
      </w:r>
    </w:p>
    <w:p>
      <w:pPr>
        <w:pStyle w:val="ListParagraph"/>
        <w:numPr>
          <w:ilvl w:val="0"/>
          <w:numId w:val="2"/>
        </w:numPr>
        <w:spacing w:after="60"/>
      </w:pPr>
      <w:r>
        <w:rPr>
          <w:rFonts w:ascii="Arial" w:cs="Arial" w:eastAsia="Arial" w:hAnsi="Arial"/>
          <w:b/>
          <w:bCs/>
          <w:sz w:val="22"/>
          <w:szCs w:val="22"/>
        </w:rPr>
        <w:t xml:space="preserve">Teach-you-first. </w:t>
      </w:r>
      <w:r>
        <w:rPr>
          <w:rFonts w:ascii="Arial" w:cs="Arial" w:eastAsia="Arial" w:hAnsi="Arial"/>
          <w:sz w:val="22"/>
          <w:szCs w:val="22"/>
        </w:rPr>
        <w:t xml:space="preserve">Each block opens with “What you’re teaching and why it matters” — the substance, in your own head, before you stand up.</w:t>
      </w:r>
    </w:p>
    <w:p>
      <w:pPr>
        <w:pStyle w:val="ListParagraph"/>
        <w:numPr>
          <w:ilvl w:val="0"/>
          <w:numId w:val="2"/>
        </w:numPr>
        <w:spacing w:after="60"/>
      </w:pPr>
      <w:r>
        <w:rPr>
          <w:rFonts w:ascii="Arial" w:cs="Arial" w:eastAsia="Arial" w:hAnsi="Arial"/>
          <w:b/>
          <w:bCs/>
          <w:sz w:val="22"/>
          <w:szCs w:val="22"/>
        </w:rPr>
        <w:t xml:space="preserve">Talking track. </w:t>
      </w:r>
      <w:r>
        <w:rPr>
          <w:rFonts w:ascii="Arial" w:cs="Arial" w:eastAsia="Arial" w:hAnsi="Arial"/>
          <w:sz w:val="22"/>
          <w:szCs w:val="22"/>
        </w:rPr>
        <w:t xml:space="preserve">Teal italic lines are suggested words you can say more or less verbatim. They are a floor, not a script — once you own the idea, use your own words.</w:t>
      </w:r>
    </w:p>
    <w:p>
      <w:pPr>
        <w:pStyle w:val="ListParagraph"/>
        <w:numPr>
          <w:ilvl w:val="0"/>
          <w:numId w:val="2"/>
        </w:numPr>
        <w:spacing w:after="60"/>
      </w:pPr>
      <w:r>
        <w:rPr>
          <w:rFonts w:ascii="Arial" w:cs="Arial" w:eastAsia="Arial" w:hAnsi="Arial"/>
          <w:b/>
          <w:bCs/>
          <w:sz w:val="22"/>
          <w:szCs w:val="22"/>
        </w:rPr>
        <w:t xml:space="preserve">Analogy. </w:t>
      </w:r>
      <w:r>
        <w:rPr>
          <w:rFonts w:ascii="Arial" w:cs="Arial" w:eastAsia="Arial" w:hAnsi="Arial"/>
          <w:sz w:val="22"/>
          <w:szCs w:val="22"/>
        </w:rPr>
        <w:t xml:space="preserve">Every block has one FinOps or everyday analogy. In a mixed room, the analogy is often what makes a finance person and an engineer nod at the same time.</w:t>
      </w:r>
    </w:p>
    <w:p>
      <w:pPr>
        <w:pStyle w:val="ListParagraph"/>
        <w:numPr>
          <w:ilvl w:val="0"/>
          <w:numId w:val="2"/>
        </w:numPr>
        <w:spacing w:after="60"/>
      </w:pPr>
      <w:r>
        <w:rPr>
          <w:rFonts w:ascii="Arial" w:cs="Arial" w:eastAsia="Arial" w:hAnsi="Arial"/>
          <w:b/>
          <w:bCs/>
          <w:sz w:val="22"/>
          <w:szCs w:val="22"/>
        </w:rPr>
        <w:t xml:space="preserve">Exercise facilitation. </w:t>
      </w:r>
      <w:r>
        <w:rPr>
          <w:rFonts w:ascii="Arial" w:cs="Arial" w:eastAsia="Arial" w:hAnsi="Arial"/>
          <w:sz w:val="22"/>
          <w:szCs w:val="22"/>
        </w:rPr>
        <w:t xml:space="preserve">Setup, timing, and debrief prompts for the matching workbook exercise.</w:t>
      </w:r>
    </w:p>
    <w:p>
      <w:pPr>
        <w:pStyle w:val="ListParagraph"/>
        <w:numPr>
          <w:ilvl w:val="0"/>
          <w:numId w:val="2"/>
        </w:numPr>
        <w:spacing w:after="60"/>
      </w:pPr>
      <w:r>
        <w:rPr>
          <w:rFonts w:ascii="Arial" w:cs="Arial" w:eastAsia="Arial" w:hAnsi="Arial"/>
          <w:b/>
          <w:bCs/>
          <w:sz w:val="22"/>
          <w:szCs w:val="22"/>
        </w:rPr>
        <w:t xml:space="preserve">Watch-outs. </w:t>
      </w:r>
      <w:r>
        <w:rPr>
          <w:rFonts w:ascii="Arial" w:cs="Arial" w:eastAsia="Arial" w:hAnsi="Arial"/>
          <w:sz w:val="22"/>
          <w:szCs w:val="22"/>
        </w:rPr>
        <w:t xml:space="preserve">The misconceptions and hard questions most likely to come up, so nothing blindsides you.</w:t>
      </w:r>
    </w:p>
    <w:p>
      <w:pPr>
        <w:spacing w:after="12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If you remember nothing else</w:t>
            </w:r>
          </w:p>
          <w:p>
            <w:pPr>
              <w:spacing w:after="40"/>
            </w:pPr>
            <w:r>
              <w:rPr>
                <w:rFonts w:ascii="Arial" w:cs="Arial" w:eastAsia="Arial" w:hAnsi="Arial"/>
                <w:color w:val="1A1A1A"/>
                <w:sz w:val="21"/>
                <w:szCs w:val="21"/>
              </w:rPr>
              <w:t xml:space="preserve">AI spend is now near-universal but barely measured. The workshop’s whole job is to move a team from “we have no idea” to “we measure one thing and act on it.”</w:t>
            </w:r>
          </w:p>
          <w:p>
            <w:pPr>
              <w:spacing w:after="40"/>
            </w:pPr>
            <w:r>
              <w:rPr>
                <w:rFonts w:ascii="Arial" w:cs="Arial" w:eastAsia="Arial" w:hAnsi="Arial"/>
                <w:color w:val="1A1A1A"/>
                <w:sz w:val="21"/>
                <w:szCs w:val="21"/>
              </w:rPr>
              <w:t xml:space="preserve">You are not selling a tool. The credibility of a no-vendor session is that every recommendation is something the team can do themselves.</w:t>
            </w:r>
          </w:p>
          <w:p>
            <w:pPr>
              <w:spacing w:after="40"/>
            </w:pPr>
            <w:r>
              <w:rPr>
                <w:rFonts w:ascii="Arial" w:cs="Arial" w:eastAsia="Arial" w:hAnsi="Arial"/>
                <w:color w:val="1A1A1A"/>
                <w:sz w:val="21"/>
                <w:szCs w:val="21"/>
              </w:rPr>
              <w:t xml:space="preserve">When in doubt, get them to their own numbers. The exercises matter more than the slides.</w:t>
            </w:r>
          </w:p>
        </w:tc>
      </w:tr>
    </w:tbl>
    <w:p>
      <w:pPr>
        <w:pStyle w:val="Heading1"/>
        <w:pageBreakBefore/>
      </w:pPr>
      <w:r>
        <w:t xml:space="preserve">Workshop at a glance</w:t>
      </w:r>
    </w:p>
    <w:p>
      <w:pPr>
        <w:spacing w:after="40" w:before="160"/>
      </w:pPr>
      <w:r>
        <w:rPr>
          <w:rFonts w:ascii="Arial" w:cs="Arial" w:eastAsia="Arial" w:hAnsi="Arial"/>
          <w:b/>
          <w:bCs/>
          <w:color w:val="13808E"/>
          <w:sz w:val="19"/>
          <w:szCs w:val="19"/>
        </w:rPr>
        <w:t xml:space="preserve">WHAT THE TEAM WALKS OUT WITH</w:t>
      </w:r>
    </w:p>
    <w:p>
      <w:pPr>
        <w:pStyle w:val="ListParagraph"/>
        <w:numPr>
          <w:ilvl w:val="0"/>
          <w:numId w:val="2"/>
        </w:numPr>
        <w:spacing w:after="60"/>
      </w:pPr>
      <w:r>
        <w:rPr>
          <w:rFonts w:ascii="Arial" w:cs="Arial" w:eastAsia="Arial" w:hAnsi="Arial"/>
          <w:color w:val="1A1A1A"/>
          <w:sz w:val="22"/>
          <w:szCs w:val="22"/>
        </w:rPr>
        <w:t xml:space="preserve">A working definition of tokenomics and how it maps onto their existing practice.</w:t>
      </w:r>
    </w:p>
    <w:p>
      <w:pPr>
        <w:pStyle w:val="ListParagraph"/>
        <w:numPr>
          <w:ilvl w:val="0"/>
          <w:numId w:val="2"/>
        </w:numPr>
        <w:spacing w:after="60"/>
      </w:pPr>
      <w:r>
        <w:rPr>
          <w:rFonts w:ascii="Arial" w:cs="Arial" w:eastAsia="Arial" w:hAnsi="Arial"/>
          <w:color w:val="1A1A1A"/>
          <w:sz w:val="22"/>
          <w:szCs w:val="22"/>
        </w:rPr>
        <w:t xml:space="preserve">A mental model of the token supply chain — from silicon to margin — and where their own exposure sits.</w:t>
      </w:r>
    </w:p>
    <w:p>
      <w:pPr>
        <w:pStyle w:val="ListParagraph"/>
        <w:numPr>
          <w:ilvl w:val="0"/>
          <w:numId w:val="2"/>
        </w:numPr>
        <w:spacing w:after="60"/>
      </w:pPr>
      <w:r>
        <w:rPr>
          <w:rFonts w:ascii="Arial" w:cs="Arial" w:eastAsia="Arial" w:hAnsi="Arial"/>
          <w:color w:val="1A1A1A"/>
          <w:sz w:val="22"/>
          <w:szCs w:val="22"/>
        </w:rPr>
        <w:t xml:space="preserve">The three optimization levers (cache, route, compress) in plain terms, and which one to try first.</w:t>
      </w:r>
    </w:p>
    <w:p>
      <w:pPr>
        <w:pStyle w:val="ListParagraph"/>
        <w:numPr>
          <w:ilvl w:val="0"/>
          <w:numId w:val="2"/>
        </w:numPr>
        <w:spacing w:after="60"/>
      </w:pPr>
      <w:r>
        <w:rPr>
          <w:rFonts w:ascii="Arial" w:cs="Arial" w:eastAsia="Arial" w:hAnsi="Arial"/>
          <w:color w:val="1A1A1A"/>
          <w:sz w:val="22"/>
          <w:szCs w:val="22"/>
        </w:rPr>
        <w:t xml:space="preserve">A measurement starter kit — the few metrics worth tracking now, before standards exist.</w:t>
      </w:r>
    </w:p>
    <w:p>
      <w:pPr>
        <w:pStyle w:val="ListParagraph"/>
        <w:numPr>
          <w:ilvl w:val="0"/>
          <w:numId w:val="2"/>
        </w:numPr>
        <w:spacing w:after="60"/>
      </w:pPr>
      <w:r>
        <w:rPr>
          <w:rFonts w:ascii="Arial" w:cs="Arial" w:eastAsia="Arial" w:hAnsi="Arial"/>
          <w:color w:val="1A1A1A"/>
          <w:sz w:val="22"/>
          <w:szCs w:val="22"/>
        </w:rPr>
        <w:t xml:space="preserve">A vendor pricing playbook — how to push for contractual clarity as consumption pricing takes over.</w:t>
      </w:r>
    </w:p>
    <w:p>
      <w:pPr>
        <w:pStyle w:val="ListParagraph"/>
        <w:numPr>
          <w:ilvl w:val="0"/>
          <w:numId w:val="2"/>
        </w:numPr>
        <w:spacing w:after="60"/>
      </w:pPr>
      <w:r>
        <w:rPr>
          <w:rFonts w:ascii="Arial" w:cs="Arial" w:eastAsia="Arial" w:hAnsi="Arial"/>
          <w:color w:val="1A1A1A"/>
          <w:sz w:val="22"/>
          <w:szCs w:val="22"/>
        </w:rPr>
        <w:t xml:space="preserve">A 30-60-90 day action plan they can start on Monday.</w:t>
      </w:r>
    </w:p>
    <w:p>
      <w:pPr>
        <w:spacing w:after="40" w:before="160"/>
      </w:pPr>
      <w:r>
        <w:rPr>
          <w:rFonts w:ascii="Arial" w:cs="Arial" w:eastAsia="Arial" w:hAnsi="Arial"/>
          <w:b/>
          <w:bCs/>
          <w:color w:val="13808E"/>
          <w:sz w:val="19"/>
          <w:szCs w:val="19"/>
        </w:rPr>
        <w:t xml:space="preserve">RUN OF SHOW — 2.5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Time</w:t>
            </w:r>
          </w:p>
        </w:tc>
        <w:tc>
          <w:tcPr>
            <w:tcW w:type="dxa" w:w="44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Segment</w:t>
            </w:r>
          </w:p>
        </w:tc>
        <w:tc>
          <w:tcPr>
            <w:tcW w:type="dxa" w:w="346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Exercise</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0:00–0:15</w:t>
            </w:r>
          </w:p>
        </w:tc>
        <w:tc>
          <w:tcPr>
            <w:tcW w:type="dxa" w:w="4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Opening — why now, the sticker-shock hook, room calibration</w:t>
            </w:r>
          </w:p>
        </w:tc>
        <w:tc>
          <w:tcPr>
            <w:tcW w:type="dxa" w:w="34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0:15–0:45</w:t>
            </w:r>
          </w:p>
        </w:tc>
        <w:tc>
          <w:tcPr>
            <w:tcW w:type="dxa" w:w="4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Block 1 — The Landscape: what tokenomics is, why cloud playbooks don’t transfer</w:t>
            </w:r>
          </w:p>
        </w:tc>
        <w:tc>
          <w:tcPr>
            <w:tcW w:type="dxa" w:w="34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Where does AI spend hide in your org?</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0:45–1:15</w:t>
            </w:r>
          </w:p>
        </w:tc>
        <w:tc>
          <w:tcPr>
            <w:tcW w:type="dxa" w:w="4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Block 2 — Supply Chain: silicon → tokens → margin, where exposure sits</w:t>
            </w:r>
          </w:p>
        </w:tc>
        <w:tc>
          <w:tcPr>
            <w:tcW w:type="dxa" w:w="34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Map your own exposure points</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1:15–1:25</w:t>
            </w:r>
          </w:p>
        </w:tc>
        <w:tc>
          <w:tcPr>
            <w:tcW w:type="dxa" w:w="4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Break</w:t>
            </w:r>
          </w:p>
        </w:tc>
        <w:tc>
          <w:tcPr>
            <w:tcW w:type="dxa" w:w="34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1:25–1:55</w:t>
            </w:r>
          </w:p>
        </w:tc>
        <w:tc>
          <w:tcPr>
            <w:tcW w:type="dxa" w:w="4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Block 3 — Routing &amp; Efficiency: cache, route, compress</w:t>
            </w:r>
          </w:p>
        </w:tc>
        <w:tc>
          <w:tcPr>
            <w:tcW w:type="dxa" w:w="34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Estimate savings on a sample workload</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1:55–2:30</w:t>
            </w:r>
          </w:p>
        </w:tc>
        <w:tc>
          <w:tcPr>
            <w:tcW w:type="dxa" w:w="4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Block 4 — Governance: what to measure, how to govern, vendor playbook</w:t>
            </w:r>
          </w:p>
        </w:tc>
        <w:tc>
          <w:tcPr>
            <w:tcW w:type="dxa" w:w="34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Build your starter kit + vendor questions</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2:30</w:t>
            </w:r>
          </w:p>
        </w:tc>
        <w:tc>
          <w:tcPr>
            <w:tcW w:type="dxa" w:w="4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Close — 30-60-90 action plan, leave-behinds, Q&amp;A</w:t>
            </w:r>
          </w:p>
        </w:tc>
        <w:tc>
          <w:tcPr>
            <w:tcW w:type="dxa" w:w="34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w:t>
            </w:r>
          </w:p>
        </w:tc>
      </w:tr>
    </w:tbl>
    <w:p>
      <w:pPr>
        <w:spacing w:after="40" w:before="160"/>
      </w:pPr>
      <w:r>
        <w:rPr>
          <w:rFonts w:ascii="Arial" w:cs="Arial" w:eastAsia="Arial" w:hAnsi="Arial"/>
          <w:b/>
          <w:bCs/>
          <w:color w:val="13808E"/>
          <w:sz w:val="19"/>
          <w:szCs w:val="19"/>
        </w:rPr>
        <w:t xml:space="preserve">FLEXING TO 2 OR 3 HOURS</w:t>
      </w:r>
    </w:p>
    <w:p>
      <w:pPr>
        <w:spacing w:after="120"/>
      </w:pPr>
      <w:r>
        <w:rPr>
          <w:rFonts w:ascii="Arial" w:cs="Arial" w:eastAsia="Arial" w:hAnsi="Arial"/>
          <w:b/>
          <w:bCs/>
          <w:color w:val="1A1A1A"/>
          <w:sz w:val="22"/>
          <w:szCs w:val="22"/>
        </w:rPr>
        <w:t xml:space="preserve">To compress to 2 hours: </w:t>
      </w:r>
      <w:r>
        <w:rPr>
          <w:rFonts w:ascii="Arial" w:cs="Arial" w:eastAsia="Arial" w:hAnsi="Arial"/>
          <w:color w:val="1A1A1A"/>
          <w:sz w:val="22"/>
          <w:szCs w:val="22"/>
        </w:rPr>
        <w:t xml:space="preserve">cut Exercise 2 to a discussion, keep Exercises 1, 3 and 4. To expand to 3 hours: lengthen each exercise debrief and add the optional “build-vs-buy” discussion in Block 4. The teaching content stays the same — the time lives in the exercises.</w:t>
      </w:r>
    </w:p>
    <w:p>
      <w:pPr>
        <w:pStyle w:val="Heading1"/>
        <w:pageBreakBefore/>
      </w:pPr>
      <w:r>
        <w:t xml:space="preserve">Before the workshop</w:t>
      </w:r>
    </w:p>
    <w:p>
      <w:pPr>
        <w:spacing w:after="40" w:before="160"/>
      </w:pPr>
      <w:r>
        <w:rPr>
          <w:rFonts w:ascii="Arial" w:cs="Arial" w:eastAsia="Arial" w:hAnsi="Arial"/>
          <w:b/>
          <w:bCs/>
          <w:color w:val="13808E"/>
          <w:sz w:val="19"/>
          <w:szCs w:val="19"/>
        </w:rPr>
        <w:t xml:space="preserve">MATERIALS</w:t>
      </w:r>
    </w:p>
    <w:p>
      <w:pPr>
        <w:pStyle w:val="ListParagraph"/>
        <w:numPr>
          <w:ilvl w:val="0"/>
          <w:numId w:val="2"/>
        </w:numPr>
        <w:spacing w:after="60"/>
      </w:pPr>
      <w:r>
        <w:rPr>
          <w:rFonts w:ascii="Arial" w:cs="Arial" w:eastAsia="Arial" w:hAnsi="Arial"/>
          <w:color w:val="1A1A1A"/>
          <w:sz w:val="22"/>
          <w:szCs w:val="22"/>
        </w:rPr>
        <w:t xml:space="preserve">Slide deck (the visual spine).</w:t>
      </w:r>
    </w:p>
    <w:p>
      <w:pPr>
        <w:pStyle w:val="ListParagraph"/>
        <w:numPr>
          <w:ilvl w:val="0"/>
          <w:numId w:val="2"/>
        </w:numPr>
        <w:spacing w:after="60"/>
      </w:pPr>
      <w:r>
        <w:rPr>
          <w:rFonts w:ascii="Arial" w:cs="Arial" w:eastAsia="Arial" w:hAnsi="Arial"/>
          <w:color w:val="1A1A1A"/>
          <w:sz w:val="22"/>
          <w:szCs w:val="22"/>
        </w:rPr>
        <w:t xml:space="preserve">One printed participant workbook per attendee, or the editable file shared in advance.</w:t>
      </w:r>
    </w:p>
    <w:p>
      <w:pPr>
        <w:pStyle w:val="ListParagraph"/>
        <w:numPr>
          <w:ilvl w:val="0"/>
          <w:numId w:val="2"/>
        </w:numPr>
        <w:spacing w:after="60"/>
      </w:pPr>
      <w:r>
        <w:rPr>
          <w:rFonts w:ascii="Arial" w:cs="Arial" w:eastAsia="Arial" w:hAnsi="Arial"/>
          <w:color w:val="1A1A1A"/>
          <w:sz w:val="22"/>
          <w:szCs w:val="22"/>
        </w:rPr>
        <w:t xml:space="preserve">This guide, plus the one-page facilitator cheat-sheet at the back, printed.</w:t>
      </w:r>
    </w:p>
    <w:p>
      <w:pPr>
        <w:pStyle w:val="ListParagraph"/>
        <w:numPr>
          <w:ilvl w:val="0"/>
          <w:numId w:val="2"/>
        </w:numPr>
        <w:spacing w:after="60"/>
      </w:pPr>
      <w:r>
        <w:rPr>
          <w:rFonts w:ascii="Arial" w:cs="Arial" w:eastAsia="Arial" w:hAnsi="Arial"/>
          <w:color w:val="1A1A1A"/>
          <w:sz w:val="22"/>
          <w:szCs w:val="22"/>
        </w:rPr>
        <w:t xml:space="preserve">A whiteboard or shared doc for the Exercise 1 and 2 debriefs.</w:t>
      </w:r>
    </w:p>
    <w:p>
      <w:pPr>
        <w:spacing w:after="40" w:before="160"/>
      </w:pPr>
      <w:r>
        <w:rPr>
          <w:rFonts w:ascii="Arial" w:cs="Arial" w:eastAsia="Arial" w:hAnsi="Arial"/>
          <w:b/>
          <w:bCs/>
          <w:color w:val="13808E"/>
          <w:sz w:val="19"/>
          <w:szCs w:val="19"/>
        </w:rPr>
        <w:t xml:space="preserve">OPTIONAL PRE-WORK (IMPROVES THE ROOM)</w:t>
      </w:r>
    </w:p>
    <w:p>
      <w:pPr>
        <w:spacing w:after="120" w:before="0"/>
      </w:pPr>
      <w:r>
        <w:rPr>
          <w:rFonts w:ascii="Arial" w:cs="Arial" w:eastAsia="Arial" w:hAnsi="Arial"/>
          <w:color w:val="1A1A1A"/>
          <w:sz w:val="22"/>
          <w:szCs w:val="22"/>
        </w:rPr>
        <w:t xml:space="preserve">Ask each attendee to bring one number: their best guess at what their organization spent on AI in the last month, and where that figure comes from. Most will not have it. That absence is the opening hook made personal — and it primes Exercise 1.</w:t>
      </w:r>
    </w:p>
    <w:p>
      <w:pPr>
        <w:spacing w:after="40" w:before="160"/>
      </w:pPr>
      <w:r>
        <w:rPr>
          <w:rFonts w:ascii="Arial" w:cs="Arial" w:eastAsia="Arial" w:hAnsi="Arial"/>
          <w:b/>
          <w:bCs/>
          <w:color w:val="13808E"/>
          <w:sz w:val="19"/>
          <w:szCs w:val="19"/>
        </w:rPr>
        <w:t xml:space="preserve">THE ONE QUESTION THAT SETS UP THE WHOLE DAY</w:t>
      </w:r>
    </w:p>
    <w:p>
      <w:pPr>
        <w:spacing w:after="120" w:before="0"/>
      </w:pPr>
      <w:r>
        <w:rPr>
          <w:rFonts w:ascii="Arial" w:cs="Arial" w:eastAsia="Arial" w:hAnsi="Arial"/>
          <w:color w:val="1A1A1A"/>
          <w:sz w:val="22"/>
          <w:szCs w:val="22"/>
        </w:rPr>
        <w:t xml:space="preserve">In the first five minutes, calibrate the room. You have a mixed audience, and each group needs a slightly different anchor. Ask for a show of hands across three groups and remember the rough split — you will lean on it all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Group</w:t>
            </w:r>
          </w:p>
        </w:tc>
        <w:tc>
          <w:tcPr>
            <w:tcW w:type="dxa" w:w="624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What they most want to hear</w:t>
            </w:r>
          </w:p>
        </w:tc>
      </w:tr>
      <w:tr>
        <w:trPr>
          <w:tblHeader w:val="false"/>
        </w:trPr>
        <w:tc>
          <w:tcPr>
            <w:tcW w:type="dxa" w:w="312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Technical (eng / ML / platform)</w:t>
            </w:r>
          </w:p>
        </w:tc>
        <w:tc>
          <w:tcPr>
            <w:tcW w:type="dxa" w:w="624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Concrete mechanics: caching, routing, where tokens actually go.</w:t>
            </w:r>
          </w:p>
        </w:tc>
      </w:tr>
      <w:tr>
        <w:trPr>
          <w:tblHeader w:val="false"/>
        </w:trPr>
        <w:tc>
          <w:tcPr>
            <w:tcW w:type="dxa" w:w="312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Finance / procurement / FinOps</w:t>
            </w:r>
          </w:p>
        </w:tc>
        <w:tc>
          <w:tcPr>
            <w:tcW w:type="dxa" w:w="624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Allocation, budgeting under volatility, vendor terms.</w:t>
            </w:r>
          </w:p>
        </w:tc>
      </w:tr>
      <w:tr>
        <w:trPr>
          <w:tblHeader w:val="false"/>
        </w:trPr>
        <w:tc>
          <w:tcPr>
            <w:tcW w:type="dxa" w:w="312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Leadership</w:t>
            </w:r>
          </w:p>
        </w:tc>
        <w:tc>
          <w:tcPr>
            <w:tcW w:type="dxa" w:w="624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Exposure, margin risk, and whether this is cost-cutting or strategy.</w:t>
            </w:r>
          </w:p>
        </w:tc>
      </w:tr>
    </w:tbl>
    <w:p>
      <w:pPr>
        <w:spacing w:after="6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Facilitator note</w:t>
            </w:r>
          </w:p>
          <w:p>
            <w:pPr>
              <w:spacing w:after="40"/>
            </w:pPr>
            <w:r>
              <w:rPr>
                <w:rFonts w:ascii="Arial" w:cs="Arial" w:eastAsia="Arial" w:hAnsi="Arial"/>
                <w:color w:val="1A1A1A"/>
                <w:sz w:val="21"/>
                <w:szCs w:val="21"/>
              </w:rPr>
              <w:t xml:space="preserve">You don’t have to satisfy all three on every point. Name openly that the room is mixed, and signal who each section is mainly for — “this next part is for the builders; finance, your moment is two slides away.” Mixed-room workshops succeed on signposting, not on pleasing everyone at once.</w:t>
            </w:r>
          </w:p>
        </w:tc>
      </w:tr>
    </w:tbl>
    <w:p>
      <w:pPr>
        <w:pStyle w:val="Heading1"/>
        <w:pageBreakBefore/>
      </w:pPr>
      <w:r>
        <w:t xml:space="preserve">Opening (0:00–0:15)</w:t>
      </w:r>
    </w:p>
    <w:p>
      <w:pPr>
        <w:pStyle w:val="Heading2"/>
      </w:pPr>
      <w:r>
        <w:t xml:space="preserve">What you’re teaching and why it matters</w:t>
      </w:r>
    </w:p>
    <w:p>
      <w:pPr>
        <w:spacing w:after="120" w:before="0"/>
      </w:pPr>
      <w:r>
        <w:rPr>
          <w:rFonts w:ascii="Arial" w:cs="Arial" w:eastAsia="Arial" w:hAnsi="Arial"/>
          <w:color w:val="1A1A1A"/>
          <w:sz w:val="22"/>
          <w:szCs w:val="22"/>
        </w:rPr>
        <w:t xml:space="preserve">The opening has one job: make the room feel the gap between how much AI spend has grown and how little of it is actually measured. You are not trying to alarm them — you are trying to make the rest of the workshop feel obviously worth their time.</w:t>
      </w:r>
    </w:p>
    <w:p>
      <w:pPr>
        <w:spacing w:after="40" w:before="160"/>
      </w:pPr>
      <w:r>
        <w:rPr>
          <w:rFonts w:ascii="Arial" w:cs="Arial" w:eastAsia="Arial" w:hAnsi="Arial"/>
          <w:b/>
          <w:bCs/>
          <w:color w:val="13808E"/>
          <w:sz w:val="19"/>
          <w:szCs w:val="19"/>
        </w:rPr>
        <w:t xml:space="preserve">THE HOOK — THREE NUMBERS</w:t>
      </w:r>
    </w:p>
    <w:p>
      <w:pPr>
        <w:pStyle w:val="ListParagraph"/>
        <w:numPr>
          <w:ilvl w:val="0"/>
          <w:numId w:val="3"/>
        </w:numPr>
        <w:spacing w:after="60"/>
      </w:pPr>
      <w:r>
        <w:rPr>
          <w:rFonts w:ascii="Arial" w:cs="Arial" w:eastAsia="Arial" w:hAnsi="Arial"/>
          <w:color w:val="1A1A1A"/>
          <w:sz w:val="22"/>
          <w:szCs w:val="22"/>
        </w:rPr>
        <w:t xml:space="preserve">Scale creeps up invisibly. A workload that costs $200 a month in a pilot can cost $200,000 a month in production. The prototype that cost $50 becomes a five-figure line item, and nobody decided that on purpose — it accreted.</w:t>
      </w:r>
    </w:p>
    <w:p>
      <w:pPr>
        <w:pStyle w:val="ListParagraph"/>
        <w:numPr>
          <w:ilvl w:val="0"/>
          <w:numId w:val="3"/>
        </w:numPr>
        <w:spacing w:after="60"/>
      </w:pPr>
      <w:r>
        <w:rPr>
          <w:rFonts w:ascii="Arial" w:cs="Arial" w:eastAsia="Arial" w:hAnsi="Arial"/>
          <w:color w:val="1A1A1A"/>
          <w:sz w:val="22"/>
          <w:szCs w:val="22"/>
        </w:rPr>
        <w:t xml:space="preserve">Exposure is near-universal; visibility is not. As of 2026, around 98% of FinOps teams report managing AI spend — up from roughly 31% in 2024. Yet only about a fifth of organizations track that spend at the level of an individual transaction. Almost everyone is exposed; almost no one can see clearly.</w:t>
      </w:r>
    </w:p>
    <w:p>
      <w:pPr>
        <w:pStyle w:val="ListParagraph"/>
        <w:numPr>
          <w:ilvl w:val="0"/>
          <w:numId w:val="3"/>
        </w:numPr>
        <w:spacing w:after="60"/>
      </w:pPr>
      <w:r>
        <w:rPr>
          <w:rFonts w:ascii="Arial" w:cs="Arial" w:eastAsia="Arial" w:hAnsi="Arial"/>
          <w:color w:val="1A1A1A"/>
          <w:sz w:val="22"/>
          <w:szCs w:val="22"/>
        </w:rPr>
        <w:t xml:space="preserve">The value question is open. As one practitioner put it bluntly this year: is your AI actually providing value? Today, almost no one can answer that with data. That is precisely the gap this workshop starts to close.</w:t>
      </w:r>
    </w:p>
    <w:p>
      <w:pPr>
        <w:pBdr>
          <w:left w:val="single" w:color="13808E" w:sz="18" w:space="12"/>
        </w:pBdr>
        <w:spacing w:after="100"/>
        <w:ind w:left="360"/>
      </w:pPr>
      <w:r>
        <w:rPr>
          <w:rFonts w:ascii="Arial" w:cs="Arial" w:eastAsia="Arial" w:hAnsi="Arial"/>
          <w:i/>
          <w:iCs/>
          <w:color w:val="0B5563"/>
          <w:sz w:val="21"/>
          <w:szCs w:val="21"/>
        </w:rPr>
        <w:t xml:space="preserve">“Raise your hand if you could tell me, within 20%, what your organization spent on AI last month. Keep it up if you could tell me which team or feature drove that spend. — That second question is what today is about.”</w:t>
      </w:r>
    </w:p>
    <w:p>
      <w:pPr>
        <w:spacing w:after="40" w:before="160"/>
      </w:pPr>
      <w:r>
        <w:rPr>
          <w:rFonts w:ascii="Arial" w:cs="Arial" w:eastAsia="Arial" w:hAnsi="Arial"/>
          <w:b/>
          <w:bCs/>
          <w:color w:val="13808E"/>
          <w:sz w:val="19"/>
          <w:szCs w:val="19"/>
        </w:rPr>
        <w:t xml:space="preserve">WHY NOW</w:t>
      </w:r>
    </w:p>
    <w:p>
      <w:pPr>
        <w:spacing w:after="120" w:before="0"/>
      </w:pPr>
      <w:r>
        <w:rPr>
          <w:rFonts w:ascii="Arial" w:cs="Arial" w:eastAsia="Arial" w:hAnsi="Arial"/>
          <w:color w:val="1A1A1A"/>
          <w:sz w:val="22"/>
          <w:szCs w:val="22"/>
        </w:rPr>
        <w:t xml:space="preserve">This is not a fringe concern that you are early to. The frameworks are being written right now, in public. The FinOps Foundation’s 2026 framework formally expanded its scope from cloud to include AI, and at FinOps X 2026 the intent to form a Tokenomics Foundation was announced — an effort to build open, shared standards for AI billing across providers. The point for the room: the standards for managing this don’t exist yet, which means a team that builds sensible internal practice now both protects itself and earns a voice in the standards that are coming.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Set expectations (say this out loud)</w:t>
            </w:r>
          </w:p>
          <w:p>
            <w:pPr>
              <w:spacing w:after="40"/>
            </w:pPr>
            <w:r>
              <w:rPr>
                <w:rFonts w:ascii="Arial" w:cs="Arial" w:eastAsia="Arial" w:hAnsi="Arial"/>
                <w:color w:val="1A1A1A"/>
                <w:sz w:val="21"/>
                <w:szCs w:val="21"/>
              </w:rPr>
              <w:t xml:space="preserve">“This is vendor-neutral. I’m not here to sell you a model, a platform, or a dashboard. Everything I show you today, you can do yourselves.”</w:t>
            </w:r>
          </w:p>
          <w:p>
            <w:pPr>
              <w:spacing w:after="40"/>
            </w:pPr>
            <w:r>
              <w:rPr>
                <w:rFonts w:ascii="Arial" w:cs="Arial" w:eastAsia="Arial" w:hAnsi="Arial"/>
                <w:color w:val="1A1A1A"/>
                <w:sz w:val="21"/>
                <w:szCs w:val="21"/>
              </w:rPr>
              <w:t xml:space="preserve">“We’ll spend more time on your numbers than on my slides. Four short exercises, and you leave with two templates you can use next week.”</w:t>
            </w:r>
          </w:p>
        </w:tc>
      </w:tr>
    </w:tbl>
    <w:p>
      <w:pPr>
        <w:pStyle w:val="Heading1"/>
        <w:pageBreakBefore/>
      </w:pPr>
      <w:r>
        <w:t xml:space="preserve">Block 1 — The Landscape (0:15–0:45)</w:t>
      </w:r>
    </w:p>
    <w:p>
      <w:pPr>
        <w:pStyle w:val="Heading2"/>
      </w:pPr>
      <w:r>
        <w:t xml:space="preserve">What you’re teaching and why it matters</w:t>
      </w:r>
    </w:p>
    <w:p>
      <w:pPr>
        <w:spacing w:after="120" w:before="0"/>
      </w:pPr>
      <w:r>
        <w:rPr>
          <w:rFonts w:ascii="Arial" w:cs="Arial" w:eastAsia="Arial" w:hAnsi="Arial"/>
          <w:color w:val="1A1A1A"/>
          <w:sz w:val="22"/>
          <w:szCs w:val="22"/>
        </w:rPr>
        <w:t xml:space="preserve">Block 1 does two things: it gives the room a shared definition of tokenomics, and it explains why the cloud and FinOps playbooks they already know don’t transfer cleanly. That second point is the one that earns you credibility with the FinOps people — it respects what they know while showing them what’s different.</w:t>
      </w:r>
    </w:p>
    <w:p>
      <w:pPr>
        <w:spacing w:after="40" w:before="160"/>
      </w:pPr>
      <w:r>
        <w:rPr>
          <w:rFonts w:ascii="Arial" w:cs="Arial" w:eastAsia="Arial" w:hAnsi="Arial"/>
          <w:b/>
          <w:bCs/>
          <w:color w:val="13808E"/>
          <w:sz w:val="19"/>
          <w:szCs w:val="19"/>
        </w:rPr>
        <w:t xml:space="preserve">A WORKING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Tokenomics (working definition for this room)</w:t>
            </w:r>
          </w:p>
          <w:p>
            <w:pPr>
              <w:spacing w:after="40"/>
            </w:pPr>
            <w:r>
              <w:rPr>
                <w:rFonts w:ascii="Arial" w:cs="Arial" w:eastAsia="Arial" w:hAnsi="Arial"/>
                <w:color w:val="1A1A1A"/>
                <w:sz w:val="21"/>
                <w:szCs w:val="21"/>
              </w:rPr>
              <w:t xml:space="preserve">The practice of managing the cost, accountability, and value of AI token consumption.</w:t>
            </w:r>
          </w:p>
          <w:p>
            <w:pPr>
              <w:spacing w:after="40"/>
            </w:pPr>
            <w:r>
              <w:rPr>
                <w:rFonts w:ascii="Arial" w:cs="Arial" w:eastAsia="Arial" w:hAnsi="Arial"/>
                <w:color w:val="1A1A1A"/>
                <w:sz w:val="21"/>
                <w:szCs w:val="21"/>
              </w:rPr>
              <w:t xml:space="preserve">A token is the unit AI models are billed on — roughly a chunk of text (a short word is ~1 token; 1,000 tokens is ~750 words). You pay separately for input tokens (what you send) and output tokens (what the model generates back).</w:t>
            </w:r>
          </w:p>
        </w:tc>
      </w:tr>
    </w:tbl>
    <w:p>
      <w:pPr>
        <w:spacing w:after="40" w:before="160"/>
      </w:pPr>
      <w:r>
        <w:rPr>
          <w:rFonts w:ascii="Arial" w:cs="Arial" w:eastAsia="Arial" w:hAnsi="Arial"/>
          <w:b/>
          <w:bCs/>
          <w:color w:val="13808E"/>
          <w:sz w:val="19"/>
          <w:szCs w:val="19"/>
        </w:rPr>
        <w:t xml:space="preserve">WHY CLOUD AND FINOPS PLAYBOOKS DON’T FULLY TRANSFER</w:t>
      </w:r>
    </w:p>
    <w:p>
      <w:pPr>
        <w:spacing w:after="120" w:before="0"/>
      </w:pPr>
      <w:r>
        <w:rPr>
          <w:rFonts w:ascii="Arial" w:cs="Arial" w:eastAsia="Arial" w:hAnsi="Arial"/>
          <w:color w:val="1A1A1A"/>
          <w:sz w:val="22"/>
          <w:szCs w:val="22"/>
        </w:rPr>
        <w:t xml:space="preserve">Frame this as three structural differences. These are the heart of Block 1.</w:t>
      </w:r>
    </w:p>
    <w:p>
      <w:pPr>
        <w:pStyle w:val="Heading3"/>
      </w:pPr>
      <w:r>
        <w:t xml:space="preserve">1. Cost is non-deterministic</w:t>
      </w:r>
    </w:p>
    <w:p>
      <w:pPr>
        <w:spacing w:after="120" w:before="0"/>
      </w:pPr>
      <w:r>
        <w:rPr>
          <w:rFonts w:ascii="Arial" w:cs="Arial" w:eastAsia="Arial" w:hAnsi="Arial"/>
          <w:color w:val="1A1A1A"/>
          <w:sz w:val="22"/>
          <w:szCs w:val="22"/>
        </w:rPr>
        <w:t xml:space="preserve">A virtual machine costs the same per hour every hour. An AI call does not. The cost of a single request depends on how long the answer turns out to be, whether the model had to retry, and which model handled it. You are metering a probabilistic process, so you cannot price a unit of work as a fixed number — only as a distribution.</w:t>
      </w:r>
    </w:p>
    <w:p>
      <w:pPr>
        <w:pStyle w:val="Heading3"/>
      </w:pPr>
      <w:r>
        <w:t xml:space="preserve">2. Quality is a cost axis</w:t>
      </w:r>
    </w:p>
    <w:p>
      <w:pPr>
        <w:spacing w:after="120" w:before="0"/>
      </w:pPr>
      <w:r>
        <w:rPr>
          <w:rFonts w:ascii="Arial" w:cs="Arial" w:eastAsia="Arial" w:hAnsi="Arial"/>
          <w:color w:val="1A1A1A"/>
          <w:sz w:val="22"/>
          <w:szCs w:val="22"/>
        </w:rPr>
        <w:t xml:space="preserve">In cloud, a cheaper choice usually means the same result, just slower or with less redundancy. In AI, a cheaper model often means a different — sometimes worse — answer. Cost and quality are coupled. You cannot optimize cost in isolation; every saving has to be checked against output quality, which is why measurement and evaluation become part of cost management, not separate from it.</w:t>
      </w:r>
    </w:p>
    <w:p>
      <w:pPr>
        <w:pStyle w:val="Heading3"/>
      </w:pPr>
      <w:r>
        <w:t xml:space="preserve">3. The price floor is unstable — and moving in two directions at once</w:t>
      </w:r>
    </w:p>
    <w:p>
      <w:pPr>
        <w:spacing w:after="120" w:before="0"/>
      </w:pPr>
      <w:r>
        <w:rPr>
          <w:rFonts w:ascii="Arial" w:cs="Arial" w:eastAsia="Arial" w:hAnsi="Arial"/>
          <w:color w:val="1A1A1A"/>
          <w:sz w:val="22"/>
          <w:szCs w:val="22"/>
        </w:rPr>
        <w:t xml:space="preserve">Per-token prices fell roughly 80% over the past year. At the same time, consumption is exploding and there are structural limits — GPU supply and energy — that mean prices will not keep falling forever. So you face the worst of both worlds for planning: unit prices drop (tempting you to assume it’ll all get cheaper), while total spend climbs (because you use far more). Budgeting on “it’ll get cheaper” is the trap.</w:t>
      </w:r>
    </w:p>
    <w:p>
      <w:pPr>
        <w:spacing w:after="120" w:before="0"/>
      </w:pPr>
      <w:r>
        <w:rPr>
          <w:rFonts w:ascii="Arial" w:cs="Arial" w:eastAsia="Arial" w:hAnsi="Arial"/>
          <w:color w:val="1A1A1A"/>
          <w:sz w:val="22"/>
          <w:szCs w:val="22"/>
        </w:rPr>
        <w:t xml:space="preserve">A fourth, quieter difference is opacity: AI billing arrives per-token, often without a line item telling you which feature, customer, or transaction drove it. That opacity is what the measurement work in Block 4 attacks.</w:t>
      </w:r>
    </w:p>
    <w:p>
      <w:pPr>
        <w:spacing w:after="40" w:before="160"/>
      </w:pPr>
      <w:r>
        <w:rPr>
          <w:rFonts w:ascii="Arial" w:cs="Arial" w:eastAsia="Arial" w:hAnsi="Arial"/>
          <w:b/>
          <w:bCs/>
          <w:color w:val="13808E"/>
          <w:sz w:val="19"/>
          <w:szCs w:val="19"/>
        </w:rPr>
        <w:t xml:space="preserve">THE ANALOGY (YOUR BRIDGE FOR THE MIXED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The shifting utility meter</w:t>
            </w:r>
          </w:p>
          <w:p>
            <w:pPr>
              <w:spacing w:after="40"/>
            </w:pPr>
            <w:r>
              <w:rPr>
                <w:rFonts w:ascii="Arial" w:cs="Arial" w:eastAsia="Arial" w:hAnsi="Arial"/>
                <w:color w:val="1A1A1A"/>
                <w:sz w:val="21"/>
                <w:szCs w:val="21"/>
              </w:rPr>
              <w:t xml:space="preserve">Cloud FinOps was about a metered utility with a stable menu: known rates, predictable appliances. Tokenomics is like managing a utility where the meter spins at a different rate every time you flip the switch, the appliance occasionally redoes the job twice, and the catalog of appliances changes every month.</w:t>
            </w:r>
          </w:p>
          <w:p>
            <w:pPr>
              <w:spacing w:after="40"/>
            </w:pPr>
            <w:r>
              <w:rPr>
                <w:rFonts w:ascii="Arial" w:cs="Arial" w:eastAsia="Arial" w:hAnsi="Arial"/>
                <w:color w:val="1A1A1A"/>
                <w:sz w:val="21"/>
                <w:szCs w:val="21"/>
              </w:rPr>
              <w:t xml:space="preserve">The FinOps muscles still apply — allocation, showback, unit economics, commitment management — but the resource underneath behaves differently, so the muscles need re-tuning.</w:t>
            </w:r>
          </w:p>
        </w:tc>
      </w:tr>
    </w:tbl>
    <w:p>
      <w:pPr>
        <w:pBdr>
          <w:left w:val="single" w:color="13808E" w:sz="18" w:space="12"/>
        </w:pBdr>
        <w:spacing w:after="100"/>
        <w:ind w:left="360"/>
      </w:pPr>
      <w:r>
        <w:rPr>
          <w:rFonts w:ascii="Arial" w:cs="Arial" w:eastAsia="Arial" w:hAnsi="Arial"/>
          <w:i/>
          <w:iCs/>
          <w:color w:val="0B5563"/>
          <w:sz w:val="21"/>
          <w:szCs w:val="21"/>
        </w:rPr>
        <w:t xml:space="preserve">“If you do FinOps, you are not starting over. You’re re-pointing skills you already have at a resource that misbehaves in three specific ways. Let’s name them, then map them to your world.”</w:t>
      </w:r>
    </w:p>
    <w:p>
      <w:pPr>
        <w:spacing w:after="40" w:before="160"/>
      </w:pPr>
      <w:r>
        <w:rPr>
          <w:rFonts w:ascii="Arial" w:cs="Arial" w:eastAsia="Arial" w:hAnsi="Arial"/>
          <w:b/>
          <w:bCs/>
          <w:color w:val="13808E"/>
          <w:sz w:val="19"/>
          <w:szCs w:val="19"/>
        </w:rPr>
        <w:t xml:space="preserve">EXERCISE 1 — WHERE DOES AI SPEND HIDE? (12 MIN)</w:t>
      </w:r>
    </w:p>
    <w:p>
      <w:pPr>
        <w:spacing w:after="120" w:before="0"/>
      </w:pPr>
      <w:r>
        <w:rPr>
          <w:rFonts w:ascii="Arial" w:cs="Arial" w:eastAsia="Arial" w:hAnsi="Arial"/>
          <w:color w:val="1A1A1A"/>
          <w:sz w:val="22"/>
          <w:szCs w:val="22"/>
        </w:rPr>
        <w:t xml:space="preserve">Workbook page “Exercise 1.” Goal: surface the visibility gap by mapping where AI is actually being consumed and who owns each bill.</w:t>
      </w:r>
    </w:p>
    <w:p>
      <w:pPr>
        <w:pStyle w:val="ListParagraph"/>
        <w:numPr>
          <w:ilvl w:val="0"/>
          <w:numId w:val="4"/>
        </w:numPr>
        <w:spacing w:after="60"/>
      </w:pPr>
      <w:r>
        <w:rPr>
          <w:rFonts w:ascii="Arial" w:cs="Arial" w:eastAsia="Arial" w:hAnsi="Arial"/>
          <w:color w:val="1A1A1A"/>
          <w:sz w:val="22"/>
          <w:szCs w:val="22"/>
        </w:rPr>
        <w:t xml:space="preserve">Setup (2 min): individually or in pairs, list every place AI spend enters the organization — direct API usage, AI features bundled into SaaS subscriptions, copilots and assistants, and “shadow” usage on personal or team cards.</w:t>
      </w:r>
    </w:p>
    <w:p>
      <w:pPr>
        <w:pStyle w:val="ListParagraph"/>
        <w:numPr>
          <w:ilvl w:val="0"/>
          <w:numId w:val="4"/>
        </w:numPr>
        <w:spacing w:after="60"/>
      </w:pPr>
      <w:r>
        <w:rPr>
          <w:rFonts w:ascii="Arial" w:cs="Arial" w:eastAsia="Arial" w:hAnsi="Arial"/>
          <w:color w:val="1A1A1A"/>
          <w:sz w:val="22"/>
          <w:szCs w:val="22"/>
        </w:rPr>
        <w:t xml:space="preserve">Work (6 min): next to each, write who owns that bill and whether anyone is tracking it. Most rows will have no clear owner and no tracking.</w:t>
      </w:r>
    </w:p>
    <w:p>
      <w:pPr>
        <w:pStyle w:val="ListParagraph"/>
        <w:numPr>
          <w:ilvl w:val="0"/>
          <w:numId w:val="4"/>
        </w:numPr>
        <w:spacing w:after="60"/>
      </w:pPr>
      <w:r>
        <w:rPr>
          <w:rFonts w:ascii="Arial" w:cs="Arial" w:eastAsia="Arial" w:hAnsi="Arial"/>
          <w:color w:val="1A1A1A"/>
          <w:sz w:val="22"/>
          <w:szCs w:val="22"/>
        </w:rPr>
        <w:t xml:space="preserve">Debrief (4 min): collect the list on the board. Two debrief prompts: Which row surprised you most? and Which single row is the biggest spend you currently can’t see? Land the point: exposure is everywhere, visibility is the gap.</w:t>
      </w:r>
    </w:p>
    <w:p>
      <w:pPr>
        <w:spacing w:after="40" w:before="160"/>
      </w:pPr>
      <w:r>
        <w:rPr>
          <w:rFonts w:ascii="Arial" w:cs="Arial" w:eastAsia="Arial" w:hAnsi="Arial"/>
          <w:b/>
          <w:bCs/>
          <w:color w:val="13808E"/>
          <w:sz w:val="19"/>
          <w:szCs w:val="19"/>
        </w:rPr>
        <w:t xml:space="preserve">WATCH-OUTS</w:t>
      </w:r>
    </w:p>
    <w:p>
      <w:pPr>
        <w:pStyle w:val="ListParagraph"/>
        <w:numPr>
          <w:ilvl w:val="0"/>
          <w:numId w:val="2"/>
        </w:numPr>
        <w:spacing w:after="60"/>
      </w:pPr>
      <w:r>
        <w:rPr>
          <w:rFonts w:ascii="Arial" w:cs="Arial" w:eastAsia="Arial" w:hAnsi="Arial"/>
          <w:b/>
          <w:bCs/>
          <w:sz w:val="22"/>
          <w:szCs w:val="22"/>
        </w:rPr>
        <w:t xml:space="preserve">“Isn’t this just cloud cost management?” </w:t>
      </w:r>
      <w:r>
        <w:rPr>
          <w:rFonts w:ascii="Arial" w:cs="Arial" w:eastAsia="Arial" w:hAnsi="Arial"/>
          <w:sz w:val="22"/>
          <w:szCs w:val="22"/>
        </w:rPr>
        <w:t xml:space="preserve">Validate the instinct, then use the three structural differences to show what’s genuinely new. Don’t dismiss the question — the FinOps people are testing whether you respect their craft.</w:t>
      </w:r>
    </w:p>
    <w:p>
      <w:pPr>
        <w:pStyle w:val="ListParagraph"/>
        <w:numPr>
          <w:ilvl w:val="0"/>
          <w:numId w:val="2"/>
        </w:numPr>
        <w:spacing w:after="60"/>
      </w:pPr>
      <w:r>
        <w:rPr>
          <w:rFonts w:ascii="Arial" w:cs="Arial" w:eastAsia="Arial" w:hAnsi="Arial"/>
          <w:b/>
          <w:bCs/>
          <w:sz w:val="22"/>
          <w:szCs w:val="22"/>
        </w:rPr>
        <w:t xml:space="preserve">Tokens-as-jargon. </w:t>
      </w:r>
      <w:r>
        <w:rPr>
          <w:rFonts w:ascii="Arial" w:cs="Arial" w:eastAsia="Arial" w:hAnsi="Arial"/>
          <w:sz w:val="22"/>
          <w:szCs w:val="22"/>
        </w:rPr>
        <w:t xml:space="preserve">Some of the room will not know what a token is. Define it once, plainly, with the words-per-token rule of thumb, and move on.</w:t>
      </w:r>
    </w:p>
    <w:p>
      <w:pPr>
        <w:pStyle w:val="Heading1"/>
        <w:pageBreakBefore/>
      </w:pPr>
      <w:r>
        <w:t xml:space="preserve">Block 2 — Supply Chain (0:45–1:15)</w:t>
      </w:r>
    </w:p>
    <w:p>
      <w:pPr>
        <w:pStyle w:val="Heading2"/>
      </w:pPr>
      <w:r>
        <w:t xml:space="preserve">What you’re teaching and why it matters</w:t>
      </w:r>
    </w:p>
    <w:p>
      <w:pPr>
        <w:spacing w:after="120" w:before="0"/>
      </w:pPr>
      <w:r>
        <w:rPr>
          <w:rFonts w:ascii="Arial" w:cs="Arial" w:eastAsia="Arial" w:hAnsi="Arial"/>
          <w:color w:val="1A1A1A"/>
          <w:sz w:val="22"/>
          <w:szCs w:val="22"/>
        </w:rPr>
        <w:t xml:space="preserve">Block 2 gives the room a single mental model — the token supply chain — that connects the physics (silicon) to the thing leadership cares about (margin). Once people can see the chain, they can see where their own exposure sits, which is the setup for every optimization and governance move later.</w:t>
      </w:r>
    </w:p>
    <w:p>
      <w:pPr>
        <w:spacing w:after="40" w:before="160"/>
      </w:pPr>
      <w:r>
        <w:rPr>
          <w:rFonts w:ascii="Arial" w:cs="Arial" w:eastAsia="Arial" w:hAnsi="Arial"/>
          <w:b/>
          <w:bCs/>
          <w:color w:val="13808E"/>
          <w:sz w:val="19"/>
          <w:szCs w:val="19"/>
        </w:rPr>
        <w:t xml:space="preserve">THE TOKEN SUPPLY CHAIN, SILICON TO MARGIN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6240"/>
      </w:tblGrid>
      <w:tr>
        <w:trPr>
          <w:tblHeader/>
        </w:trPr>
        <w:tc>
          <w:tcPr>
            <w:tcW w:type="dxa" w:w="52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26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Link</w:t>
            </w:r>
          </w:p>
        </w:tc>
        <w:tc>
          <w:tcPr>
            <w:tcW w:type="dxa" w:w="624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What happens, and why it matters to cost</w:t>
            </w:r>
          </w:p>
        </w:tc>
      </w:tr>
      <w:tr>
        <w:trPr>
          <w:tblHeader w:val="false"/>
        </w:trPr>
        <w:tc>
          <w:tcPr>
            <w:tcW w:type="dxa" w:w="52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1</w:t>
            </w:r>
          </w:p>
        </w:tc>
        <w:tc>
          <w:tcPr>
            <w:tcW w:type="dxa" w:w="2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Silicon / GPUs</w:t>
            </w:r>
          </w:p>
        </w:tc>
        <w:tc>
          <w:tcPr>
            <w:tcW w:type="dxa" w:w="624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The structural cost floor. GPU compute runs roughly 15x the cost of equivalent CPU compute, and supply plus energy are constrained — this is why prices won’t fall forever.</w:t>
            </w:r>
          </w:p>
        </w:tc>
      </w:tr>
      <w:tr>
        <w:trPr>
          <w:tblHeader w:val="false"/>
        </w:trPr>
        <w:tc>
          <w:tcPr>
            <w:tcW w:type="dxa" w:w="52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2</w:t>
            </w:r>
          </w:p>
        </w:tc>
        <w:tc>
          <w:tcPr>
            <w:tcW w:type="dxa" w:w="2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Model providers</w:t>
            </w:r>
          </w:p>
        </w:tc>
        <w:tc>
          <w:tcPr>
            <w:tcW w:type="dxa" w:w="624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Inference cost becomes a per-token price. Output tokens cost 3–10x input tokens, because generating each token is a full pass through the model while reading input is cheaper.</w:t>
            </w:r>
          </w:p>
        </w:tc>
      </w:tr>
      <w:tr>
        <w:trPr>
          <w:tblHeader w:val="false"/>
        </w:trPr>
        <w:tc>
          <w:tcPr>
            <w:tcW w:type="dxa" w:w="52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3</w:t>
            </w:r>
          </w:p>
        </w:tc>
        <w:tc>
          <w:tcPr>
            <w:tcW w:type="dxa" w:w="2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Your application</w:t>
            </w:r>
          </w:p>
        </w:tc>
        <w:tc>
          <w:tcPr>
            <w:tcW w:type="dxa" w:w="624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Your prompts, context size, retries, and caching choices decide how many tokens each task actually consumes. This is the link you control most directly.</w:t>
            </w:r>
          </w:p>
        </w:tc>
      </w:tr>
      <w:tr>
        <w:trPr>
          <w:tblHeader w:val="false"/>
        </w:trPr>
        <w:tc>
          <w:tcPr>
            <w:tcW w:type="dxa" w:w="52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4</w:t>
            </w:r>
          </w:p>
        </w:tc>
        <w:tc>
          <w:tcPr>
            <w:tcW w:type="dxa" w:w="2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Your product / margin</w:t>
            </w:r>
          </w:p>
        </w:tc>
        <w:tc>
          <w:tcPr>
            <w:tcW w:type="dxa" w:w="624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Token cost becomes cost of goods sold. If you charge customers a flat subscription but pay per token, your heaviest users quietly erode your margin.</w:t>
            </w:r>
          </w:p>
        </w:tc>
      </w:tr>
    </w:tbl>
    <w:p>
      <w:pPr>
        <w:spacing w:after="40" w:before="160"/>
      </w:pPr>
      <w:r>
        <w:rPr>
          <w:rFonts w:ascii="Arial" w:cs="Arial" w:eastAsia="Arial" w:hAnsi="Arial"/>
          <w:b/>
          <w:bCs/>
          <w:color w:val="13808E"/>
          <w:sz w:val="19"/>
          <w:szCs w:val="19"/>
        </w:rPr>
        <w:t xml:space="preserve">WHERE EXPOSURE SITS</w:t>
      </w:r>
    </w:p>
    <w:p>
      <w:pPr>
        <w:spacing w:after="120" w:before="0"/>
      </w:pPr>
      <w:r>
        <w:rPr>
          <w:rFonts w:ascii="Arial" w:cs="Arial" w:eastAsia="Arial" w:hAnsi="Arial"/>
          <w:color w:val="1A1A1A"/>
          <w:sz w:val="22"/>
          <w:szCs w:val="22"/>
        </w:rPr>
        <w:t xml:space="preserve">Walk the room through the four exposure points that matter most, because these are exactly what Exercise 2 asks them to find in their own workload.</w:t>
      </w:r>
    </w:p>
    <w:p>
      <w:pPr>
        <w:pStyle w:val="ListParagraph"/>
        <w:numPr>
          <w:ilvl w:val="0"/>
          <w:numId w:val="2"/>
        </w:numPr>
        <w:spacing w:after="60"/>
      </w:pPr>
      <w:r>
        <w:rPr>
          <w:rFonts w:ascii="Arial" w:cs="Arial" w:eastAsia="Arial" w:hAnsi="Arial"/>
          <w:b/>
          <w:bCs/>
          <w:sz w:val="22"/>
          <w:szCs w:val="22"/>
        </w:rPr>
        <w:t xml:space="preserve">Input/output ratio. </w:t>
      </w:r>
      <w:r>
        <w:rPr>
          <w:rFonts w:ascii="Arial" w:cs="Arial" w:eastAsia="Arial" w:hAnsi="Arial"/>
          <w:sz w:val="22"/>
          <w:szCs w:val="22"/>
        </w:rPr>
        <w:t xml:space="preserve">A task with long prompts and short answers has a completely different cost shape than short prompts with long generations. Output is the expensive direction.</w:t>
      </w:r>
    </w:p>
    <w:p>
      <w:pPr>
        <w:pStyle w:val="ListParagraph"/>
        <w:numPr>
          <w:ilvl w:val="0"/>
          <w:numId w:val="2"/>
        </w:numPr>
        <w:spacing w:after="60"/>
      </w:pPr>
      <w:r>
        <w:rPr>
          <w:rFonts w:ascii="Arial" w:cs="Arial" w:eastAsia="Arial" w:hAnsi="Arial"/>
          <w:b/>
          <w:bCs/>
          <w:sz w:val="22"/>
          <w:szCs w:val="22"/>
        </w:rPr>
        <w:t xml:space="preserve">Retries and errors. </w:t>
      </w:r>
      <w:r>
        <w:rPr>
          <w:rFonts w:ascii="Arial" w:cs="Arial" w:eastAsia="Arial" w:hAnsi="Arial"/>
          <w:sz w:val="22"/>
          <w:szCs w:val="22"/>
        </w:rPr>
        <w:t xml:space="preserve">Every retry is a full re-bill. High retry rates are a hidden tax that never shows up as a line item.</w:t>
      </w:r>
    </w:p>
    <w:p>
      <w:pPr>
        <w:pStyle w:val="ListParagraph"/>
        <w:numPr>
          <w:ilvl w:val="0"/>
          <w:numId w:val="2"/>
        </w:numPr>
        <w:spacing w:after="60"/>
      </w:pPr>
      <w:r>
        <w:rPr>
          <w:rFonts w:ascii="Arial" w:cs="Arial" w:eastAsia="Arial" w:hAnsi="Arial"/>
          <w:b/>
          <w:bCs/>
          <w:sz w:val="22"/>
          <w:szCs w:val="22"/>
        </w:rPr>
        <w:t xml:space="preserve">Context bloat. </w:t>
      </w:r>
      <w:r>
        <w:rPr>
          <w:rFonts w:ascii="Arial" w:cs="Arial" w:eastAsia="Arial" w:hAnsi="Arial"/>
          <w:sz w:val="22"/>
          <w:szCs w:val="22"/>
        </w:rPr>
        <w:t xml:space="preserve">Stuffing more context “just in case” inflates every single call. Context is paid for on every request, not once.</w:t>
      </w:r>
    </w:p>
    <w:p>
      <w:pPr>
        <w:pStyle w:val="ListParagraph"/>
        <w:numPr>
          <w:ilvl w:val="0"/>
          <w:numId w:val="2"/>
        </w:numPr>
        <w:spacing w:after="60"/>
      </w:pPr>
      <w:r>
        <w:rPr>
          <w:rFonts w:ascii="Arial" w:cs="Arial" w:eastAsia="Arial" w:hAnsi="Arial"/>
          <w:b/>
          <w:bCs/>
          <w:sz w:val="22"/>
          <w:szCs w:val="22"/>
        </w:rPr>
        <w:t xml:space="preserve">Pricing mismatch. </w:t>
      </w:r>
      <w:r>
        <w:rPr>
          <w:rFonts w:ascii="Arial" w:cs="Arial" w:eastAsia="Arial" w:hAnsi="Arial"/>
          <w:sz w:val="22"/>
          <w:szCs w:val="22"/>
        </w:rPr>
        <w:t xml:space="preserve">The margin trap: charging a flat price while paying a metered cost. Your customers’ behavior directly moves your cost of goods.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The lesson in one line</w:t>
            </w:r>
          </w:p>
          <w:p>
            <w:pPr>
              <w:spacing w:after="40"/>
            </w:pPr>
            <w:r>
              <w:rPr>
                <w:rFonts w:ascii="Arial" w:cs="Arial" w:eastAsia="Arial" w:hAnsi="Arial"/>
                <w:color w:val="1A1A1A"/>
                <w:sz w:val="21"/>
                <w:szCs w:val="21"/>
              </w:rPr>
              <w:t xml:space="preserve">The cheapest model per token is not the cheapest model per task. Retry rates, output quality, and context overhead decide your true cost per unit of work — so “which model is cheapest?” is the wrong question. “Which model is cheapest for this task at acceptable quality?” is the right one.</w:t>
            </w:r>
          </w:p>
        </w:tc>
      </w:tr>
    </w:tbl>
    <w:p>
      <w:pPr>
        <w:spacing w:after="40" w:before="160"/>
      </w:pPr>
      <w:r>
        <w:rPr>
          <w:rFonts w:ascii="Arial" w:cs="Arial" w:eastAsia="Arial" w:hAnsi="Arial"/>
          <w:b/>
          <w:bCs/>
          <w:color w:val="13808E"/>
          <w:sz w:val="19"/>
          <w:szCs w:val="19"/>
        </w:rPr>
        <w:t xml:space="preserve">THE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A manufacturing supply chain</w:t>
            </w:r>
          </w:p>
          <w:p>
            <w:pPr>
              <w:spacing w:after="40"/>
            </w:pPr>
            <w:r>
              <w:rPr>
                <w:rFonts w:ascii="Arial" w:cs="Arial" w:eastAsia="Arial" w:hAnsi="Arial"/>
                <w:color w:val="1A1A1A"/>
                <w:sz w:val="21"/>
                <w:szCs w:val="21"/>
              </w:rPr>
              <w:t xml:space="preserve">Treat tokens like a manufacturing line: raw materials (compute) → components (model inference) → assembly (your application) → finished-goods margin. A price shock in raw materials — a GPU shortage, an energy spike — flows downstream to your margin unless you’ve hedged.</w:t>
            </w:r>
          </w:p>
          <w:p>
            <w:pPr>
              <w:spacing w:after="40"/>
            </w:pPr>
            <w:r>
              <w:rPr>
                <w:rFonts w:ascii="Arial" w:cs="Arial" w:eastAsia="Arial" w:hAnsi="Arial"/>
                <w:color w:val="1A1A1A"/>
                <w:sz w:val="21"/>
                <w:szCs w:val="21"/>
              </w:rPr>
              <w:t xml:space="preserve">The hedges are the next two blocks: caching and routing (use less raw material per unit) and vendor terms (lock in your input prices).</w:t>
            </w:r>
          </w:p>
        </w:tc>
      </w:tr>
    </w:tbl>
    <w:p>
      <w:pPr>
        <w:pBdr>
          <w:left w:val="single" w:color="13808E" w:sz="18" w:space="12"/>
        </w:pBdr>
        <w:spacing w:after="100"/>
        <w:ind w:left="360"/>
      </w:pPr>
      <w:r>
        <w:rPr>
          <w:rFonts w:ascii="Arial" w:cs="Arial" w:eastAsia="Arial" w:hAnsi="Arial"/>
          <w:i/>
          <w:iCs/>
          <w:color w:val="0B5563"/>
          <w:sz w:val="21"/>
          <w:szCs w:val="21"/>
        </w:rPr>
        <w:t xml:space="preserve">“If you’ve ever managed a COGS line, this is familiar: you don’t control the price of steel, but you control how much steel each unit uses, and you negotiate your steel contract. Tokens are your steel.”</w:t>
      </w:r>
    </w:p>
    <w:p>
      <w:pPr>
        <w:spacing w:after="40" w:before="160"/>
      </w:pPr>
      <w:r>
        <w:rPr>
          <w:rFonts w:ascii="Arial" w:cs="Arial" w:eastAsia="Arial" w:hAnsi="Arial"/>
          <w:b/>
          <w:bCs/>
          <w:color w:val="13808E"/>
          <w:sz w:val="19"/>
          <w:szCs w:val="19"/>
        </w:rPr>
        <w:t xml:space="preserve">EXERCISE 2 — MAP YOUR EXPOSURE (15 MIN)</w:t>
      </w:r>
    </w:p>
    <w:p>
      <w:pPr>
        <w:spacing w:after="120" w:before="0"/>
      </w:pPr>
      <w:r>
        <w:rPr>
          <w:rFonts w:ascii="Arial" w:cs="Arial" w:eastAsia="Arial" w:hAnsi="Arial"/>
          <w:color w:val="1A1A1A"/>
          <w:sz w:val="22"/>
          <w:szCs w:val="22"/>
        </w:rPr>
        <w:t xml:space="preserve">Workbook page “Exercise 2.” Goal: locate the team’s own exposure points on the supply chain.</w:t>
      </w:r>
    </w:p>
    <w:p>
      <w:pPr>
        <w:pStyle w:val="ListParagraph"/>
        <w:numPr>
          <w:ilvl w:val="0"/>
          <w:numId w:val="5"/>
        </w:numPr>
        <w:spacing w:after="60"/>
      </w:pPr>
      <w:r>
        <w:rPr>
          <w:rFonts w:ascii="Arial" w:cs="Arial" w:eastAsia="Arial" w:hAnsi="Arial"/>
          <w:color w:val="1A1A1A"/>
          <w:sz w:val="22"/>
          <w:szCs w:val="22"/>
        </w:rPr>
        <w:t xml:space="preserve">Setup (2 min): each table picks one real or representative AI workload — a support assistant, a document analyzer, a coding copilot.</w:t>
      </w:r>
    </w:p>
    <w:p>
      <w:pPr>
        <w:pStyle w:val="ListParagraph"/>
        <w:numPr>
          <w:ilvl w:val="0"/>
          <w:numId w:val="5"/>
        </w:numPr>
        <w:spacing w:after="60"/>
      </w:pPr>
      <w:r>
        <w:rPr>
          <w:rFonts w:ascii="Arial" w:cs="Arial" w:eastAsia="Arial" w:hAnsi="Arial"/>
          <w:color w:val="1A1A1A"/>
          <w:sz w:val="22"/>
          <w:szCs w:val="22"/>
        </w:rPr>
        <w:t xml:space="preserve">Work (9 min): for that workload, sketch the four links and answer: roughly what’s the input/output mix? who pays the bill? how are customers charged versus how you’re charged? where would a 2x price change hurt most?</w:t>
      </w:r>
    </w:p>
    <w:p>
      <w:pPr>
        <w:pStyle w:val="ListParagraph"/>
        <w:numPr>
          <w:ilvl w:val="0"/>
          <w:numId w:val="5"/>
        </w:numPr>
        <w:spacing w:after="60"/>
      </w:pPr>
      <w:r>
        <w:rPr>
          <w:rFonts w:ascii="Arial" w:cs="Arial" w:eastAsia="Arial" w:hAnsi="Arial"/>
          <w:color w:val="1A1A1A"/>
          <w:sz w:val="22"/>
          <w:szCs w:val="22"/>
        </w:rPr>
        <w:t xml:space="preserve">Debrief (4 min): one table shares. Land the point: exposure is specific and findable — you don’t need perfect data to know where you’re thin.</w:t>
      </w:r>
    </w:p>
    <w:p>
      <w:pPr>
        <w:spacing w:after="40" w:before="160"/>
      </w:pPr>
      <w:r>
        <w:rPr>
          <w:rFonts w:ascii="Arial" w:cs="Arial" w:eastAsia="Arial" w:hAnsi="Arial"/>
          <w:b/>
          <w:bCs/>
          <w:color w:val="13808E"/>
          <w:sz w:val="19"/>
          <w:szCs w:val="19"/>
        </w:rPr>
        <w:t xml:space="preserve">WATCH-OUTS</w:t>
      </w:r>
    </w:p>
    <w:p>
      <w:pPr>
        <w:pStyle w:val="ListParagraph"/>
        <w:numPr>
          <w:ilvl w:val="0"/>
          <w:numId w:val="2"/>
        </w:numPr>
        <w:spacing w:after="60"/>
      </w:pPr>
      <w:r>
        <w:rPr>
          <w:rFonts w:ascii="Arial" w:cs="Arial" w:eastAsia="Arial" w:hAnsi="Arial"/>
          <w:b/>
          <w:bCs/>
          <w:sz w:val="22"/>
          <w:szCs w:val="22"/>
        </w:rPr>
        <w:t xml:space="preserve">“We don’t have the numbers.” </w:t>
      </w:r>
      <w:r>
        <w:rPr>
          <w:rFonts w:ascii="Arial" w:cs="Arial" w:eastAsia="Arial" w:hAnsi="Arial"/>
          <w:sz w:val="22"/>
          <w:szCs w:val="22"/>
        </w:rPr>
        <w:t xml:space="preserve">Good — that’s the finding, not a blocker. Estimates are enough to locate exposure. Precision comes after instrumentation (Block 4).</w:t>
      </w:r>
    </w:p>
    <w:p>
      <w:pPr>
        <w:pStyle w:val="ListParagraph"/>
        <w:numPr>
          <w:ilvl w:val="0"/>
          <w:numId w:val="2"/>
        </w:numPr>
        <w:spacing w:after="60"/>
      </w:pPr>
      <w:r>
        <w:rPr>
          <w:rFonts w:ascii="Arial" w:cs="Arial" w:eastAsia="Arial" w:hAnsi="Arial"/>
          <w:b/>
          <w:bCs/>
          <w:sz w:val="22"/>
          <w:szCs w:val="22"/>
        </w:rPr>
        <w:t xml:space="preserve">Output-cost surprise. </w:t>
      </w:r>
      <w:r>
        <w:rPr>
          <w:rFonts w:ascii="Arial" w:cs="Arial" w:eastAsia="Arial" w:hAnsi="Arial"/>
          <w:sz w:val="22"/>
          <w:szCs w:val="22"/>
        </w:rPr>
        <w:t xml:space="preserve">People assume input (their big prompts) dominates. Often the expensive part is generation. Use the 3–10x figure to reset the intuition.</w:t>
      </w:r>
    </w:p>
    <w:p>
      <w:pPr>
        <w:pStyle w:val="Heading1"/>
        <w:pageBreakBefore/>
      </w:pPr>
      <w:r>
        <w:t xml:space="preserve">Break (1:15–1:25)</w:t>
      </w:r>
    </w:p>
    <w:p>
      <w:pPr>
        <w:spacing w:after="120" w:before="0"/>
      </w:pPr>
      <w:r>
        <w:rPr>
          <w:rFonts w:ascii="Arial" w:cs="Arial" w:eastAsia="Arial" w:hAnsi="Arial"/>
          <w:color w:val="1A1A1A"/>
          <w:sz w:val="22"/>
          <w:szCs w:val="22"/>
        </w:rPr>
        <w:t xml:space="preserve">Ten minutes. Tell the room the second half is the practical half — how to spend less and how to govern it. Use the break to glance at which of the three groups looks restless and adjust your signposting for Blocks 3 and 4.</w:t>
      </w:r>
    </w:p>
    <w:p>
      <w:pPr>
        <w:pStyle w:val="Heading1"/>
        <w:pageBreakBefore/>
      </w:pPr>
      <w:r>
        <w:t xml:space="preserve">Block 3 — Routing &amp; Efficiency (1:25–1:55)</w:t>
      </w:r>
    </w:p>
    <w:p>
      <w:pPr>
        <w:pStyle w:val="Heading2"/>
      </w:pPr>
      <w:r>
        <w:t xml:space="preserve">What you’re teaching and why it matters</w:t>
      </w:r>
    </w:p>
    <w:p>
      <w:pPr>
        <w:spacing w:after="120" w:before="0"/>
      </w:pPr>
      <w:r>
        <w:rPr>
          <w:rFonts w:ascii="Arial" w:cs="Arial" w:eastAsia="Arial" w:hAnsi="Arial"/>
          <w:color w:val="1A1A1A"/>
          <w:sz w:val="22"/>
          <w:szCs w:val="22"/>
        </w:rPr>
        <w:t xml:space="preserve">Block 3 is the “what do we actually do” block. It hands the room three stackable levers — cache, route, compress — that together routinely cut an inference bill by 60–80%. The key teaching move is honesty: each lever trades against something, so this is disciplined engineering, not a magic switch.</w:t>
      </w:r>
    </w:p>
    <w:p>
      <w:pPr>
        <w:spacing w:after="40" w:before="160"/>
      </w:pPr>
      <w:r>
        <w:rPr>
          <w:rFonts w:ascii="Arial" w:cs="Arial" w:eastAsia="Arial" w:hAnsi="Arial"/>
          <w:b/>
          <w:bCs/>
          <w:color w:val="13808E"/>
          <w:sz w:val="19"/>
          <w:szCs w:val="19"/>
        </w:rPr>
        <w:t xml:space="preserve">THE THREE LEVERS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tblHeader/>
        </w:trPr>
        <w:tc>
          <w:tcPr>
            <w:tcW w:type="dxa" w:w="15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Lever</w:t>
            </w:r>
          </w:p>
        </w:tc>
        <w:tc>
          <w:tcPr>
            <w:tcW w:type="dxa" w:w="37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What it does</w:t>
            </w:r>
          </w:p>
        </w:tc>
        <w:tc>
          <w:tcPr>
            <w:tcW w:type="dxa" w:w="416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The number / the catch</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b/>
                <w:bCs/>
                <w:color w:val="1A1A1A"/>
                <w:sz w:val="20"/>
                <w:szCs w:val="20"/>
              </w:rPr>
              <w:t xml:space="preserve">Cache</w:t>
            </w:r>
          </w:p>
        </w:tc>
        <w:tc>
          <w:tcPr>
            <w:tcW w:type="dxa" w:w="37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Reuse the expensive first “read” of static context instead of paying to re-read it every call.</w:t>
            </w:r>
          </w:p>
        </w:tc>
        <w:tc>
          <w:tcPr>
            <w:tcW w:type="dxa" w:w="41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Up to 90% off cached input. Catch: keep your static prefix stable — “don’t break the cache.”</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b/>
                <w:bCs/>
                <w:color w:val="1A1A1A"/>
                <w:sz w:val="20"/>
                <w:szCs w:val="20"/>
              </w:rPr>
              <w:t xml:space="preserve">Route</w:t>
            </w:r>
          </w:p>
        </w:tc>
        <w:tc>
          <w:tcPr>
            <w:tcW w:type="dxa" w:w="37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Send each request to the cheapest model that still passes your quality bar; escalate only the hard cases.</w:t>
            </w:r>
          </w:p>
        </w:tc>
        <w:tc>
          <w:tcPr>
            <w:tcW w:type="dxa" w:w="41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Within one provider the price spread can be ~150x. Catch: you need evals, or you trade cost for quality blindly.</w:t>
            </w:r>
          </w:p>
        </w:tc>
      </w:tr>
      <w:tr>
        <w:trPr>
          <w:tblHeader w:val="false"/>
        </w:trPr>
        <w:tc>
          <w:tcPr>
            <w:tcW w:type="dxa" w:w="15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b/>
                <w:bCs/>
                <w:color w:val="1A1A1A"/>
                <w:sz w:val="20"/>
                <w:szCs w:val="20"/>
              </w:rPr>
              <w:t xml:space="preserve">Compress</w:t>
            </w:r>
          </w:p>
        </w:tc>
        <w:tc>
          <w:tcPr>
            <w:tcW w:type="dxa" w:w="37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Shorter prompts, leaner context, and caps on output length so you stop paying for verbosity.</w:t>
            </w:r>
          </w:p>
        </w:tc>
        <w:tc>
          <w:tcPr>
            <w:tcW w:type="dxa" w:w="41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Output is the costly direction, so caps pay off. Catch: over-compression loses nuance.</w:t>
            </w:r>
          </w:p>
        </w:tc>
      </w:tr>
    </w:tbl>
    <w:p>
      <w:pPr>
        <w:spacing w:after="120" w:before="0"/>
      </w:pPr>
      <w:r>
        <w:rPr>
          <w:rFonts w:ascii="Arial" w:cs="Arial" w:eastAsia="Arial" w:hAnsi="Arial"/>
          <w:color w:val="1A1A1A"/>
          <w:sz w:val="22"/>
          <w:szCs w:val="22"/>
        </w:rPr>
        <w:t xml:space="preserve">A fourth lever for asynchronous work: batching. Sending non-urgent jobs through a batch endpoint typically earns 50% off, because it lets the provider pack the work efficiently.</w:t>
      </w:r>
    </w:p>
    <w:p>
      <w:pPr>
        <w:spacing w:after="40" w:before="160"/>
      </w:pPr>
      <w:r>
        <w:rPr>
          <w:rFonts w:ascii="Arial" w:cs="Arial" w:eastAsia="Arial" w:hAnsi="Arial"/>
          <w:b/>
          <w:bCs/>
          <w:color w:val="13808E"/>
          <w:sz w:val="19"/>
          <w:szCs w:val="19"/>
        </w:rPr>
        <w:t xml:space="preserve">MAKE CACHING CONCRETE</w:t>
      </w:r>
    </w:p>
    <w:p>
      <w:pPr>
        <w:spacing w:after="120" w:before="0"/>
      </w:pPr>
      <w:r>
        <w:rPr>
          <w:rFonts w:ascii="Arial" w:cs="Arial" w:eastAsia="Arial" w:hAnsi="Arial"/>
          <w:color w:val="1A1A1A"/>
          <w:sz w:val="22"/>
          <w:szCs w:val="22"/>
        </w:rPr>
        <w:t xml:space="preserve">Caching is usually the simplest, highest-impact first move, so give it a number. Imagine asking eight follow-up questions against a large, fixed body of reference text. Without caching, every question re-reads the whole corpus and you pay full input each time. With caching, the first call pays full price and the rest pay a small fraction of it — a session that would cost about $24 drops to roughly $7.50. Same answers, a third of the cost, from one configuration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“Without breaking your cache” — the one-pager phrase, explained</w:t>
            </w:r>
          </w:p>
          <w:p>
            <w:pPr>
              <w:spacing w:after="40"/>
            </w:pPr>
            <w:r>
              <w:rPr>
                <w:rFonts w:ascii="Arial" w:cs="Arial" w:eastAsia="Arial" w:hAnsi="Arial"/>
                <w:color w:val="1A1A1A"/>
                <w:sz w:val="21"/>
                <w:szCs w:val="21"/>
              </w:rPr>
              <w:t xml:space="preserve">Caching works by storing the processed state of a stable prefix of your prompt. If you inject something dynamic — a timestamp, a user name, a changing instruction — near the top of that prefix, you invalidate the cache and pay full price again.</w:t>
            </w:r>
          </w:p>
          <w:p>
            <w:pPr>
              <w:spacing w:after="40"/>
            </w:pPr>
            <w:r>
              <w:rPr>
                <w:rFonts w:ascii="Arial" w:cs="Arial" w:eastAsia="Arial" w:hAnsi="Arial"/>
                <w:color w:val="1A1A1A"/>
                <w:sz w:val="21"/>
                <w:szCs w:val="21"/>
              </w:rPr>
              <w:t xml:space="preserve">The discipline: put everything stable first (system prompt, reference material), everything dynamic last. Order matters more than people expect.</w:t>
            </w:r>
          </w:p>
        </w:tc>
      </w:tr>
    </w:tbl>
    <w:p>
      <w:pPr>
        <w:spacing w:after="40" w:before="160"/>
      </w:pPr>
      <w:r>
        <w:rPr>
          <w:rFonts w:ascii="Arial" w:cs="Arial" w:eastAsia="Arial" w:hAnsi="Arial"/>
          <w:b/>
          <w:bCs/>
          <w:color w:val="13808E"/>
          <w:sz w:val="19"/>
          <w:szCs w:val="19"/>
        </w:rPr>
        <w:t xml:space="preserve">THE ANALOGY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Three levers as logistics</w:t>
            </w:r>
          </w:p>
          <w:p>
            <w:pPr>
              <w:spacing w:after="40"/>
            </w:pPr>
            <w:r>
              <w:rPr>
                <w:rFonts w:ascii="Arial" w:cs="Arial" w:eastAsia="Arial" w:hAnsi="Arial"/>
                <w:color w:val="1A1A1A"/>
                <w:sz w:val="21"/>
                <w:szCs w:val="21"/>
              </w:rPr>
              <w:t xml:space="preserve">Caching is keeping inventory near demand — don’t re-manufacture what you already made.</w:t>
            </w:r>
          </w:p>
          <w:p>
            <w:pPr>
              <w:spacing w:after="40"/>
            </w:pPr>
            <w:r>
              <w:rPr>
                <w:rFonts w:ascii="Arial" w:cs="Arial" w:eastAsia="Arial" w:hAnsi="Arial"/>
                <w:color w:val="1A1A1A"/>
                <w:sz w:val="21"/>
                <w:szCs w:val="21"/>
              </w:rPr>
              <w:t xml:space="preserve">Routing is choosing the cheapest adequate carrier for each shipment — you don’t airfreight a postcard.</w:t>
            </w:r>
          </w:p>
          <w:p>
            <w:pPr>
              <w:spacing w:after="40"/>
            </w:pPr>
            <w:r>
              <w:rPr>
                <w:rFonts w:ascii="Arial" w:cs="Arial" w:eastAsia="Arial" w:hAnsi="Arial"/>
                <w:color w:val="1A1A1A"/>
                <w:sz w:val="21"/>
                <w:szCs w:val="21"/>
              </w:rPr>
              <w:t xml:space="preserve">Compressing is not shipping air in the box — pay to move the goods, not the packaging.</w:t>
            </w:r>
          </w:p>
        </w:tc>
      </w:tr>
    </w:tbl>
    <w:p>
      <w:pPr>
        <w:pBdr>
          <w:left w:val="single" w:color="13808E" w:sz="18" w:space="12"/>
        </w:pBdr>
        <w:spacing w:after="100"/>
        <w:ind w:left="360"/>
      </w:pPr>
      <w:r>
        <w:rPr>
          <w:rFonts w:ascii="Arial" w:cs="Arial" w:eastAsia="Arial" w:hAnsi="Arial"/>
          <w:i/>
          <w:iCs/>
          <w:color w:val="0B5563"/>
          <w:sz w:val="21"/>
          <w:szCs w:val="21"/>
        </w:rPr>
        <w:t xml:space="preserve">“Stack all three and 60–80% off is realistic. But notice every lever has a catch — staleness, quality, lost nuance. That’s why you measure each one separately. Cost-cutting without a quality gate isn’t optimization, it’s just degradation you haven’t noticed yet.”</w:t>
      </w:r>
    </w:p>
    <w:p>
      <w:pPr>
        <w:spacing w:after="40" w:before="160"/>
      </w:pPr>
      <w:r>
        <w:rPr>
          <w:rFonts w:ascii="Arial" w:cs="Arial" w:eastAsia="Arial" w:hAnsi="Arial"/>
          <w:b/>
          <w:bCs/>
          <w:color w:val="13808E"/>
          <w:sz w:val="19"/>
          <w:szCs w:val="19"/>
        </w:rPr>
        <w:t xml:space="preserve">EXERCISE 3 — ESTIMATE THE SAVINGS (12 MIN)</w:t>
      </w:r>
    </w:p>
    <w:p>
      <w:pPr>
        <w:spacing w:after="120" w:before="0"/>
      </w:pPr>
      <w:r>
        <w:rPr>
          <w:rFonts w:ascii="Arial" w:cs="Arial" w:eastAsia="Arial" w:hAnsi="Arial"/>
          <w:color w:val="1A1A1A"/>
          <w:sz w:val="22"/>
          <w:szCs w:val="22"/>
        </w:rPr>
        <w:t xml:space="preserve">Workbook page “Exercise 3” includes a worked calculator. Goal: let the room feel the leverage on a realistic workload.</w:t>
      </w:r>
    </w:p>
    <w:p>
      <w:pPr>
        <w:pStyle w:val="ListParagraph"/>
        <w:numPr>
          <w:ilvl w:val="0"/>
          <w:numId w:val="6"/>
        </w:numPr>
        <w:spacing w:after="60"/>
      </w:pPr>
      <w:r>
        <w:rPr>
          <w:rFonts w:ascii="Arial" w:cs="Arial" w:eastAsia="Arial" w:hAnsi="Arial"/>
          <w:color w:val="1A1A1A"/>
          <w:sz w:val="22"/>
          <w:szCs w:val="22"/>
        </w:rPr>
        <w:t xml:space="preserve">Setup (1 min): use the workbook’s sample workload (volume, token mix, current model) or a team’s own rough numbers.</w:t>
      </w:r>
    </w:p>
    <w:p>
      <w:pPr>
        <w:pStyle w:val="ListParagraph"/>
        <w:numPr>
          <w:ilvl w:val="0"/>
          <w:numId w:val="6"/>
        </w:numPr>
        <w:spacing w:after="60"/>
      </w:pPr>
      <w:r>
        <w:rPr>
          <w:rFonts w:ascii="Arial" w:cs="Arial" w:eastAsia="Arial" w:hAnsi="Arial"/>
          <w:color w:val="1A1A1A"/>
          <w:sz w:val="22"/>
          <w:szCs w:val="22"/>
        </w:rPr>
        <w:t xml:space="preserve">Work (7 min): apply each lever in turn — a cache hit rate, a routing split (what share could a cheaper model handle?), and an output cap — and tally the combined effect using the template.</w:t>
      </w:r>
    </w:p>
    <w:p>
      <w:pPr>
        <w:pStyle w:val="ListParagraph"/>
        <w:numPr>
          <w:ilvl w:val="0"/>
          <w:numId w:val="6"/>
        </w:numPr>
        <w:spacing w:after="60"/>
      </w:pPr>
      <w:r>
        <w:rPr>
          <w:rFonts w:ascii="Arial" w:cs="Arial" w:eastAsia="Arial" w:hAnsi="Arial"/>
          <w:color w:val="1A1A1A"/>
          <w:sz w:val="22"/>
          <w:szCs w:val="22"/>
        </w:rPr>
        <w:t xml:space="preserve">Debrief (4 min): compare results across tables. Land the point: the biggest win is usually the first lever, not the third — start where it’s easiest.</w:t>
      </w:r>
    </w:p>
    <w:p>
      <w:pPr>
        <w:spacing w:after="40" w:before="160"/>
      </w:pPr>
      <w:r>
        <w:rPr>
          <w:rFonts w:ascii="Arial" w:cs="Arial" w:eastAsia="Arial" w:hAnsi="Arial"/>
          <w:b/>
          <w:bCs/>
          <w:color w:val="13808E"/>
          <w:sz w:val="19"/>
          <w:szCs w:val="19"/>
        </w:rPr>
        <w:t xml:space="preserve">WATCH-OUTS</w:t>
      </w:r>
    </w:p>
    <w:p>
      <w:pPr>
        <w:pStyle w:val="ListParagraph"/>
        <w:numPr>
          <w:ilvl w:val="0"/>
          <w:numId w:val="2"/>
        </w:numPr>
        <w:spacing w:after="60"/>
      </w:pPr>
      <w:r>
        <w:rPr>
          <w:rFonts w:ascii="Arial" w:cs="Arial" w:eastAsia="Arial" w:hAnsi="Arial"/>
          <w:b/>
          <w:bCs/>
          <w:sz w:val="22"/>
          <w:szCs w:val="22"/>
        </w:rPr>
        <w:t xml:space="preserve">Savings don’t simply add. </w:t>
      </w:r>
      <w:r>
        <w:rPr>
          <w:rFonts w:ascii="Arial" w:cs="Arial" w:eastAsia="Arial" w:hAnsi="Arial"/>
          <w:sz w:val="22"/>
          <w:szCs w:val="22"/>
        </w:rPr>
        <w:t xml:space="preserve">The levers overlap — a cached call you also route cheaply doesn’t save twice. The template handles this; just don’t promise a clean 90+90.</w:t>
      </w:r>
    </w:p>
    <w:p>
      <w:pPr>
        <w:pStyle w:val="ListParagraph"/>
        <w:numPr>
          <w:ilvl w:val="0"/>
          <w:numId w:val="2"/>
        </w:numPr>
        <w:spacing w:after="60"/>
      </w:pPr>
      <w:r>
        <w:rPr>
          <w:rFonts w:ascii="Arial" w:cs="Arial" w:eastAsia="Arial" w:hAnsi="Arial"/>
          <w:b/>
          <w:bCs/>
          <w:sz w:val="22"/>
          <w:szCs w:val="22"/>
        </w:rPr>
        <w:t xml:space="preserve">Routing fear. </w:t>
      </w:r>
      <w:r>
        <w:rPr>
          <w:rFonts w:ascii="Arial" w:cs="Arial" w:eastAsia="Arial" w:hAnsi="Arial"/>
          <w:sz w:val="22"/>
          <w:szCs w:val="22"/>
        </w:rPr>
        <w:t xml:space="preserve">“Cheaper model = worse product.” Reframe: route the easy 80%, reserve the frontier model for the 10–20% that need it. Quality stays; cost drops.</w:t>
      </w:r>
    </w:p>
    <w:p>
      <w:pPr>
        <w:pStyle w:val="Heading1"/>
        <w:pageBreakBefore/>
      </w:pPr>
      <w:r>
        <w:t xml:space="preserve">Block 4 — Governance (1:55–2:30)</w:t>
      </w:r>
    </w:p>
    <w:p>
      <w:pPr>
        <w:pStyle w:val="Heading2"/>
      </w:pPr>
      <w:r>
        <w:t xml:space="preserve">What you’re teaching and why it matters</w:t>
      </w:r>
    </w:p>
    <w:p>
      <w:pPr>
        <w:spacing w:after="120" w:before="0"/>
      </w:pPr>
      <w:r>
        <w:rPr>
          <w:rFonts w:ascii="Arial" w:cs="Arial" w:eastAsia="Arial" w:hAnsi="Arial"/>
          <w:color w:val="1A1A1A"/>
          <w:sz w:val="22"/>
          <w:szCs w:val="22"/>
        </w:rPr>
        <w:t xml:space="preserve">Block 4 turns one-time savings into a durable practice. It answers three questions: what to measure now (before standards exist), how to govern it without strangling experimentation, and how to push vendors for clarity. This is where your FinOps audience leans in hardest — it’s their native territory, applied to a new resource.</w:t>
      </w:r>
    </w:p>
    <w:p>
      <w:pPr>
        <w:spacing w:after="40" w:before="160"/>
      </w:pPr>
      <w:r>
        <w:rPr>
          <w:rFonts w:ascii="Arial" w:cs="Arial" w:eastAsia="Arial" w:hAnsi="Arial"/>
          <w:b/>
          <w:bCs/>
          <w:color w:val="13808E"/>
          <w:sz w:val="19"/>
          <w:szCs w:val="19"/>
        </w:rPr>
        <w:t xml:space="preserve">WHAT TO MEASURE NOW — THE STARTER KIT</w:t>
      </w:r>
    </w:p>
    <w:p>
      <w:pPr>
        <w:spacing w:after="120" w:before="0"/>
      </w:pPr>
      <w:r>
        <w:rPr>
          <w:rFonts w:ascii="Arial" w:cs="Arial" w:eastAsia="Arial" w:hAnsi="Arial"/>
          <w:color w:val="1A1A1A"/>
          <w:sz w:val="22"/>
          <w:szCs w:val="22"/>
        </w:rPr>
        <w:t xml:space="preserve">Standards for AI cost metrics don’t exist yet. You measure anyway, because the alternative is compounding spend you can’t see. Give the room a short, prioritized list — the workbook turns it into a fill-in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Metric</w:t>
            </w:r>
          </w:p>
        </w:tc>
        <w:tc>
          <w:tcPr>
            <w:tcW w:type="dxa" w:w="576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Why it earns its place</w:t>
            </w:r>
          </w:p>
        </w:tc>
      </w:tr>
      <w:tr>
        <w:trPr>
          <w:tblHeader w:val="false"/>
        </w:trPr>
        <w:tc>
          <w:tcPr>
            <w:tcW w:type="dxa" w:w="3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b/>
                <w:bCs/>
                <w:color w:val="1A1A1A"/>
                <w:sz w:val="20"/>
                <w:szCs w:val="20"/>
              </w:rPr>
              <w:t xml:space="preserve">Cost per transaction / unit of work</w:t>
            </w:r>
          </w:p>
        </w:tc>
        <w:tc>
          <w:tcPr>
            <w:tcW w:type="dxa" w:w="57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The single biggest gap — only ~22% of organizations track it. Without it you can’t connect spend to anything.</w:t>
            </w:r>
          </w:p>
        </w:tc>
      </w:tr>
      <w:tr>
        <w:trPr>
          <w:tblHeader w:val="false"/>
        </w:trPr>
        <w:tc>
          <w:tcPr>
            <w:tcW w:type="dxa" w:w="3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Cost-to-serve per customer or feature</w:t>
            </w:r>
          </w:p>
        </w:tc>
        <w:tc>
          <w:tcPr>
            <w:tcW w:type="dxa" w:w="57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Ties spend directly to margin and pricing decisions.</w:t>
            </w:r>
          </w:p>
        </w:tc>
      </w:tr>
      <w:tr>
        <w:trPr>
          <w:tblHeader w:val="false"/>
        </w:trPr>
        <w:tc>
          <w:tcPr>
            <w:tcW w:type="dxa" w:w="3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Input/output token ratio</w:t>
            </w:r>
          </w:p>
        </w:tc>
        <w:tc>
          <w:tcPr>
            <w:tcW w:type="dxa" w:w="57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A fast efficiency signal; flags context bloat and verbose output.</w:t>
            </w:r>
          </w:p>
        </w:tc>
      </w:tr>
      <w:tr>
        <w:trPr>
          <w:tblHeader w:val="false"/>
        </w:trPr>
        <w:tc>
          <w:tcPr>
            <w:tcW w:type="dxa" w:w="3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Cache hit rate</w:t>
            </w:r>
          </w:p>
        </w:tc>
        <w:tc>
          <w:tcPr>
            <w:tcW w:type="dxa" w:w="57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Tells you whether your cheapest lever is actually working.</w:t>
            </w:r>
          </w:p>
        </w:tc>
      </w:tr>
      <w:tr>
        <w:trPr>
          <w:tblHeader w:val="false"/>
        </w:trPr>
        <w:tc>
          <w:tcPr>
            <w:tcW w:type="dxa" w:w="3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Model mix / routing distribution</w:t>
            </w:r>
          </w:p>
        </w:tc>
        <w:tc>
          <w:tcPr>
            <w:tcW w:type="dxa" w:w="57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Reveals over-reliance on expensive frontier models.</w:t>
            </w:r>
          </w:p>
        </w:tc>
      </w:tr>
      <w:tr>
        <w:trPr>
          <w:tblHeader w:val="false"/>
        </w:trPr>
        <w:tc>
          <w:tcPr>
            <w:tcW w:type="dxa" w:w="3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Retry / error rate</w:t>
            </w:r>
          </w:p>
        </w:tc>
        <w:tc>
          <w:tcPr>
            <w:tcW w:type="dxa" w:w="57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Surfaces the hidden re-billing tax from Block 2.</w:t>
            </w:r>
          </w:p>
        </w:tc>
      </w:tr>
      <w:tr>
        <w:trPr>
          <w:tblHeader w:val="false"/>
        </w:trPr>
        <w:tc>
          <w:tcPr>
            <w:tcW w:type="dxa" w:w="3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Spend by team / product / environment</w:t>
            </w:r>
          </w:p>
        </w:tc>
        <w:tc>
          <w:tcPr>
            <w:tcW w:type="dxa" w:w="57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Allocation — the foundation for showback and accountability.</w:t>
            </w:r>
          </w:p>
        </w:tc>
      </w:tr>
    </w:tbl>
    <w:p>
      <w:pPr>
        <w:spacing w:after="120" w:before="0"/>
      </w:pPr>
      <w:r>
        <w:rPr>
          <w:rFonts w:ascii="Arial" w:cs="Arial" w:eastAsia="Arial" w:hAnsi="Arial"/>
          <w:color w:val="1A1A1A"/>
          <w:sz w:val="22"/>
          <w:szCs w:val="22"/>
        </w:rPr>
        <w:t xml:space="preserve">Start with the first one. If the room adopts only a single metric, cost per transaction on one workload is the one that changes behavior.</w:t>
      </w:r>
    </w:p>
    <w:p>
      <w:pPr>
        <w:spacing w:after="40" w:before="160"/>
      </w:pPr>
      <w:r>
        <w:rPr>
          <w:rFonts w:ascii="Arial" w:cs="Arial" w:eastAsia="Arial" w:hAnsi="Arial"/>
          <w:b/>
          <w:bCs/>
          <w:color w:val="13808E"/>
          <w:sz w:val="19"/>
          <w:szCs w:val="19"/>
        </w:rPr>
        <w:t xml:space="preserve">HOW TO GOVERN IT — WITHOUT KILLING EXPERIMENTATION</w:t>
      </w:r>
    </w:p>
    <w:p>
      <w:pPr>
        <w:spacing w:after="120" w:before="0"/>
      </w:pPr>
      <w:r>
        <w:rPr>
          <w:rFonts w:ascii="Arial" w:cs="Arial" w:eastAsia="Arial" w:hAnsi="Arial"/>
          <w:color w:val="1A1A1A"/>
          <w:sz w:val="22"/>
          <w:szCs w:val="22"/>
        </w:rPr>
        <w:t xml:space="preserve">Here is the most important nuance in the whole workshop, and it’s a current one. The FinOps Foundation’s 2026 framework introduces “Scopes” — defined segments of spend — and makes a sharp point about AI: an innovation-focused AI scope should tolerate higher waste, run at the fastest cadence, and accept low maturity. If you apply cloud-era efficiency standards to AI experimentation, you do one of two harmful things — you underinvest in the experiments that create value, or you manufacture the appearance of governance without the substance.</w:t>
      </w:r>
    </w:p>
    <w:p>
      <w:pPr>
        <w:pStyle w:val="ListParagraph"/>
        <w:numPr>
          <w:ilvl w:val="0"/>
          <w:numId w:val="2"/>
        </w:numPr>
        <w:spacing w:after="60"/>
      </w:pPr>
      <w:r>
        <w:rPr>
          <w:rFonts w:ascii="Arial" w:cs="Arial" w:eastAsia="Arial" w:hAnsi="Arial"/>
          <w:b/>
          <w:bCs/>
          <w:sz w:val="22"/>
          <w:szCs w:val="22"/>
        </w:rPr>
        <w:t xml:space="preserve">Separate your scopes. </w:t>
      </w:r>
      <w:r>
        <w:rPr>
          <w:rFonts w:ascii="Arial" w:cs="Arial" w:eastAsia="Arial" w:hAnsi="Arial"/>
          <w:sz w:val="22"/>
          <w:szCs w:val="22"/>
        </w:rPr>
        <w:t xml:space="preserve">Production AI spend should be governed tightly; experimental AI spend should be governed loosely and on purpose. Same discipline, different tolerances.</w:t>
      </w:r>
    </w:p>
    <w:p>
      <w:pPr>
        <w:pStyle w:val="ListParagraph"/>
        <w:numPr>
          <w:ilvl w:val="0"/>
          <w:numId w:val="2"/>
        </w:numPr>
        <w:spacing w:after="60"/>
      </w:pPr>
      <w:r>
        <w:rPr>
          <w:rFonts w:ascii="Arial" w:cs="Arial" w:eastAsia="Arial" w:hAnsi="Arial"/>
          <w:b/>
          <w:bCs/>
          <w:sz w:val="22"/>
          <w:szCs w:val="22"/>
        </w:rPr>
        <w:t xml:space="preserve">Crawl, walk, run. </w:t>
      </w:r>
      <w:r>
        <w:rPr>
          <w:rFonts w:ascii="Arial" w:cs="Arial" w:eastAsia="Arial" w:hAnsi="Arial"/>
          <w:sz w:val="22"/>
          <w:szCs w:val="22"/>
        </w:rPr>
        <w:t xml:space="preserve">Inform (get visibility) → Optimize (apply the levers) → Operate (make it routine). Don’t skip to chargeback on day one.</w:t>
      </w:r>
    </w:p>
    <w:p>
      <w:pPr>
        <w:pStyle w:val="ListParagraph"/>
        <w:numPr>
          <w:ilvl w:val="0"/>
          <w:numId w:val="2"/>
        </w:numPr>
        <w:spacing w:after="60"/>
      </w:pPr>
      <w:r>
        <w:rPr>
          <w:rFonts w:ascii="Arial" w:cs="Arial" w:eastAsia="Arial" w:hAnsi="Arial"/>
          <w:b/>
          <w:bCs/>
          <w:sz w:val="22"/>
          <w:szCs w:val="22"/>
        </w:rPr>
        <w:t xml:space="preserve">Allocation before chargeback. </w:t>
      </w:r>
      <w:r>
        <w:rPr>
          <w:rFonts w:ascii="Arial" w:cs="Arial" w:eastAsia="Arial" w:hAnsi="Arial"/>
          <w:sz w:val="22"/>
          <w:szCs w:val="22"/>
        </w:rPr>
        <w:t xml:space="preserve">Show teams their spend (showback) before you bill them for it. Assign one owner per AI scope.</w:t>
      </w:r>
    </w:p>
    <w:p>
      <w:pPr>
        <w:spacing w:after="40" w:before="160"/>
      </w:pPr>
      <w:r>
        <w:rPr>
          <w:rFonts w:ascii="Arial" w:cs="Arial" w:eastAsia="Arial" w:hAnsi="Arial"/>
          <w:b/>
          <w:bCs/>
          <w:color w:val="13808E"/>
          <w:sz w:val="19"/>
          <w:szCs w:val="19"/>
        </w:rPr>
        <w:t xml:space="preserve">THE VENDOR PRICING PLAYBOOK</w:t>
      </w:r>
    </w:p>
    <w:p>
      <w:pPr>
        <w:spacing w:after="120" w:before="0"/>
      </w:pPr>
      <w:r>
        <w:rPr>
          <w:rFonts w:ascii="Arial" w:cs="Arial" w:eastAsia="Arial" w:hAnsi="Arial"/>
          <w:color w:val="1A1A1A"/>
          <w:sz w:val="22"/>
          <w:szCs w:val="22"/>
        </w:rPr>
        <w:t xml:space="preserve">As consumption pricing takes over, the team’s leverage is at contract time. Give them the questions and clauses to push for. The workbook contains the full checklist; here’s the spine.</w:t>
      </w:r>
    </w:p>
    <w:p>
      <w:pPr>
        <w:pStyle w:val="ListParagraph"/>
        <w:numPr>
          <w:ilvl w:val="0"/>
          <w:numId w:val="2"/>
        </w:numPr>
        <w:spacing w:after="60"/>
      </w:pPr>
      <w:r>
        <w:rPr>
          <w:rFonts w:ascii="Arial" w:cs="Arial" w:eastAsia="Arial" w:hAnsi="Arial"/>
          <w:color w:val="1A1A1A"/>
          <w:sz w:val="22"/>
          <w:szCs w:val="22"/>
        </w:rPr>
        <w:t xml:space="preserve">Transparent, itemized per-token billing — not a single opaque figure.</w:t>
      </w:r>
    </w:p>
    <w:p>
      <w:pPr>
        <w:pStyle w:val="ListParagraph"/>
        <w:numPr>
          <w:ilvl w:val="0"/>
          <w:numId w:val="2"/>
        </w:numPr>
        <w:spacing w:after="60"/>
      </w:pPr>
      <w:r>
        <w:rPr>
          <w:rFonts w:ascii="Arial" w:cs="Arial" w:eastAsia="Arial" w:hAnsi="Arial"/>
          <w:color w:val="1A1A1A"/>
          <w:sz w:val="22"/>
          <w:szCs w:val="22"/>
        </w:rPr>
        <w:t xml:space="preserve">Committed-use discounts and price protection / rate-lock against mid-term increases.</w:t>
      </w:r>
    </w:p>
    <w:p>
      <w:pPr>
        <w:pStyle w:val="ListParagraph"/>
        <w:numPr>
          <w:ilvl w:val="0"/>
          <w:numId w:val="2"/>
        </w:numPr>
        <w:spacing w:after="60"/>
      </w:pPr>
      <w:r>
        <w:rPr>
          <w:rFonts w:ascii="Arial" w:cs="Arial" w:eastAsia="Arial" w:hAnsi="Arial"/>
          <w:color w:val="1A1A1A"/>
          <w:sz w:val="22"/>
          <w:szCs w:val="22"/>
        </w:rPr>
        <w:t xml:space="preserve">Eligibility for caching and batch discounts, and how cached tokens are billed.</w:t>
      </w:r>
    </w:p>
    <w:p>
      <w:pPr>
        <w:pStyle w:val="ListParagraph"/>
        <w:numPr>
          <w:ilvl w:val="0"/>
          <w:numId w:val="2"/>
        </w:numPr>
        <w:spacing w:after="60"/>
      </w:pPr>
      <w:r>
        <w:rPr>
          <w:rFonts w:ascii="Arial" w:cs="Arial" w:eastAsia="Arial" w:hAnsi="Arial"/>
          <w:color w:val="1A1A1A"/>
          <w:sz w:val="22"/>
          <w:szCs w:val="22"/>
        </w:rPr>
        <w:t xml:space="preserve">Model deprecation and sunset notice — how much warning before a model you depend on changes or disappears.</w:t>
      </w:r>
    </w:p>
    <w:p>
      <w:pPr>
        <w:pStyle w:val="ListParagraph"/>
        <w:numPr>
          <w:ilvl w:val="0"/>
          <w:numId w:val="2"/>
        </w:numPr>
        <w:spacing w:after="60"/>
      </w:pPr>
      <w:r>
        <w:rPr>
          <w:rFonts w:ascii="Arial" w:cs="Arial" w:eastAsia="Arial" w:hAnsi="Arial"/>
          <w:color w:val="1A1A1A"/>
          <w:sz w:val="22"/>
          <w:szCs w:val="22"/>
        </w:rPr>
        <w:t xml:space="preserve">The token-counting methodology itself — how the vendor defines and counts a token, and whether that can change.</w:t>
      </w:r>
    </w:p>
    <w:p>
      <w:pPr>
        <w:pStyle w:val="ListParagraph"/>
        <w:numPr>
          <w:ilvl w:val="0"/>
          <w:numId w:val="2"/>
        </w:numPr>
        <w:spacing w:after="60"/>
      </w:pPr>
      <w:r>
        <w:rPr>
          <w:rFonts w:ascii="Arial" w:cs="Arial" w:eastAsia="Arial" w:hAnsi="Arial"/>
          <w:color w:val="1A1A1A"/>
          <w:sz w:val="22"/>
          <w:szCs w:val="22"/>
        </w:rPr>
        <w:t xml:space="preserve">Overage, rate-limit, and burst terms — what happens, and at what price, when you exceed your tier.</w:t>
      </w:r>
    </w:p>
    <w:p>
      <w:pPr>
        <w:spacing w:after="40" w:before="160"/>
      </w:pPr>
      <w:r>
        <w:rPr>
          <w:rFonts w:ascii="Arial" w:cs="Arial" w:eastAsia="Arial" w:hAnsi="Arial"/>
          <w:b/>
          <w:bCs/>
          <w:color w:val="13808E"/>
          <w:sz w:val="19"/>
          <w:szCs w:val="19"/>
        </w:rPr>
        <w:t xml:space="preserve">WHAT’S STILL UNSOLVED (BE HONEST ABOUT THIS)</w:t>
      </w:r>
    </w:p>
    <w:p>
      <w:pPr>
        <w:pStyle w:val="ListParagraph"/>
        <w:numPr>
          <w:ilvl w:val="0"/>
          <w:numId w:val="2"/>
        </w:numPr>
        <w:spacing w:after="60"/>
      </w:pPr>
      <w:r>
        <w:rPr>
          <w:rFonts w:ascii="Arial" w:cs="Arial" w:eastAsia="Arial" w:hAnsi="Arial"/>
          <w:color w:val="1A1A1A"/>
          <w:sz w:val="22"/>
          <w:szCs w:val="22"/>
        </w:rPr>
        <w:t xml:space="preserve">Cross-provider billing standards don’t exist yet — the forming Tokenomics Foundation is the attempt to fix it.</w:t>
      </w:r>
    </w:p>
    <w:p>
      <w:pPr>
        <w:pStyle w:val="ListParagraph"/>
        <w:numPr>
          <w:ilvl w:val="0"/>
          <w:numId w:val="2"/>
        </w:numPr>
        <w:spacing w:after="60"/>
      </w:pPr>
      <w:r>
        <w:rPr>
          <w:rFonts w:ascii="Arial" w:cs="Arial" w:eastAsia="Arial" w:hAnsi="Arial"/>
          <w:color w:val="1A1A1A"/>
          <w:sz w:val="22"/>
          <w:szCs w:val="22"/>
        </w:rPr>
        <w:t xml:space="preserve">The value question is open: nobody has a clean, agreed way to prove an AI feature delivers its intended value.</w:t>
      </w:r>
    </w:p>
    <w:p>
      <w:pPr>
        <w:pStyle w:val="ListParagraph"/>
        <w:numPr>
          <w:ilvl w:val="0"/>
          <w:numId w:val="2"/>
        </w:numPr>
        <w:spacing w:after="60"/>
      </w:pPr>
      <w:r>
        <w:rPr>
          <w:rFonts w:ascii="Arial" w:cs="Arial" w:eastAsia="Arial" w:hAnsi="Arial"/>
          <w:color w:val="1A1A1A"/>
          <w:sz w:val="22"/>
          <w:szCs w:val="22"/>
        </w:rPr>
        <w:t xml:space="preserve">Whether prices keep falling: structural GPU and energy limits suggest the easy declines are 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The analogy</w:t>
            </w:r>
          </w:p>
          <w:p>
            <w:pPr>
              <w:spacing w:after="40"/>
            </w:pPr>
            <w:r>
              <w:rPr>
                <w:rFonts w:ascii="Arial" w:cs="Arial" w:eastAsia="Arial" w:hAnsi="Arial"/>
                <w:color w:val="1A1A1A"/>
                <w:sz w:val="21"/>
                <w:szCs w:val="21"/>
              </w:rPr>
              <w:t xml:space="preserve">Governing AI spend now is like building accounting standards in the middle of a gold rush. You don’t wait for the equivalent of GAAP to exist before you count your gold — you adopt sensible internal standards today, and by doing so you earn a seat at the table writing the real ones.</w:t>
            </w:r>
          </w:p>
        </w:tc>
      </w:tr>
    </w:tbl>
    <w:p>
      <w:pPr>
        <w:pBdr>
          <w:left w:val="single" w:color="13808E" w:sz="18" w:space="12"/>
        </w:pBdr>
        <w:spacing w:after="100"/>
        <w:ind w:left="360"/>
      </w:pPr>
      <w:r>
        <w:rPr>
          <w:rFonts w:ascii="Arial" w:cs="Arial" w:eastAsia="Arial" w:hAnsi="Arial"/>
          <w:i/>
          <w:iCs/>
          <w:color w:val="0B5563"/>
          <w:sz w:val="21"/>
          <w:szCs w:val="21"/>
        </w:rPr>
        <w:t xml:space="preserve">“You will not get this perfect, because perfect doesn’t exist yet. The goal is to measure one real thing, govern your experiments differently from your production, and walk into your next vendor renewal with better questions than they expect.”</w:t>
      </w:r>
    </w:p>
    <w:p>
      <w:pPr>
        <w:spacing w:after="40" w:before="160"/>
      </w:pPr>
      <w:r>
        <w:rPr>
          <w:rFonts w:ascii="Arial" w:cs="Arial" w:eastAsia="Arial" w:hAnsi="Arial"/>
          <w:b/>
          <w:bCs/>
          <w:color w:val="13808E"/>
          <w:sz w:val="19"/>
          <w:szCs w:val="19"/>
        </w:rPr>
        <w:t xml:space="preserve">EXERCISE 4 — YOUR STARTER KIT + VENDOR QUESTIONS (15 MIN)</w:t>
      </w:r>
    </w:p>
    <w:p>
      <w:pPr>
        <w:pStyle w:val="ListParagraph"/>
        <w:numPr>
          <w:ilvl w:val="0"/>
          <w:numId w:val="7"/>
        </w:numPr>
        <w:spacing w:after="60"/>
      </w:pPr>
      <w:r>
        <w:rPr>
          <w:rFonts w:ascii="Arial" w:cs="Arial" w:eastAsia="Arial" w:hAnsi="Arial"/>
          <w:color w:val="1A1A1A"/>
          <w:sz w:val="22"/>
          <w:szCs w:val="22"/>
        </w:rPr>
        <w:t xml:space="preserve">Setup (1 min): point them to the two templates in the workbook — Measurement Starter Kit and Vendor Pricing Playbook.</w:t>
      </w:r>
    </w:p>
    <w:p>
      <w:pPr>
        <w:pStyle w:val="ListParagraph"/>
        <w:numPr>
          <w:ilvl w:val="0"/>
          <w:numId w:val="7"/>
        </w:numPr>
        <w:spacing w:after="60"/>
      </w:pPr>
      <w:r>
        <w:rPr>
          <w:rFonts w:ascii="Arial" w:cs="Arial" w:eastAsia="Arial" w:hAnsi="Arial"/>
          <w:color w:val="1A1A1A"/>
          <w:sz w:val="22"/>
          <w:szCs w:val="22"/>
        </w:rPr>
        <w:t xml:space="preserve">Work (10 min): each person picks their first three metrics (and which workload to instrument first), then drafts their top five vendor questions for an actual contract they hold.</w:t>
      </w:r>
    </w:p>
    <w:p>
      <w:pPr>
        <w:pStyle w:val="ListParagraph"/>
        <w:numPr>
          <w:ilvl w:val="0"/>
          <w:numId w:val="7"/>
        </w:numPr>
        <w:spacing w:after="60"/>
      </w:pPr>
      <w:r>
        <w:rPr>
          <w:rFonts w:ascii="Arial" w:cs="Arial" w:eastAsia="Arial" w:hAnsi="Arial"/>
          <w:color w:val="1A1A1A"/>
          <w:sz w:val="22"/>
          <w:szCs w:val="22"/>
        </w:rPr>
        <w:t xml:space="preserve">Debrief (4 min): a few share their “first metric, first workload.” Land the point: this is the Monday-morning action, not a someday project.</w:t>
      </w:r>
    </w:p>
    <w:p>
      <w:pPr>
        <w:pStyle w:val="Heading1"/>
        <w:pageBreakBefore/>
      </w:pPr>
      <w:r>
        <w:t xml:space="preserve">Close — your path to value (2:30)</w:t>
      </w:r>
    </w:p>
    <w:p>
      <w:pPr>
        <w:spacing w:after="120" w:before="0"/>
      </w:pPr>
      <w:r>
        <w:rPr>
          <w:rFonts w:ascii="Arial" w:cs="Arial" w:eastAsia="Arial" w:hAnsi="Arial"/>
          <w:color w:val="1A1A1A"/>
          <w:sz w:val="22"/>
          <w:szCs w:val="22"/>
        </w:rPr>
        <w:t xml:space="preserve">Close by collapsing the whole day into a 30-60-90 plan. It mirrors the crawl-walk-run idea and gives every group a concrete next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rPr>
          <w:tblHeader/>
        </w:trPr>
        <w:tc>
          <w:tcPr>
            <w:tcW w:type="dxa" w:w="16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Horizon</w:t>
            </w:r>
          </w:p>
        </w:tc>
        <w:tc>
          <w:tcPr>
            <w:tcW w:type="dxa" w:w="30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Theme</w:t>
            </w:r>
          </w:p>
        </w:tc>
        <w:tc>
          <w:tcPr>
            <w:tcW w:type="dxa" w:w="476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The one move</w:t>
            </w:r>
          </w:p>
        </w:tc>
      </w:tr>
      <w:tr>
        <w:trPr>
          <w:tblHeader w:val="false"/>
        </w:trPr>
        <w:tc>
          <w:tcPr>
            <w:tcW w:type="dxa" w:w="1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b/>
                <w:bCs/>
                <w:color w:val="1A1A1A"/>
                <w:sz w:val="20"/>
                <w:szCs w:val="20"/>
              </w:rPr>
              <w:t xml:space="preserve">30 days</w:t>
            </w:r>
          </w:p>
        </w:tc>
        <w:tc>
          <w:tcPr>
            <w:tcW w:type="dxa" w:w="30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Get visibility</w:t>
            </w:r>
          </w:p>
        </w:tc>
        <w:tc>
          <w:tcPr>
            <w:tcW w:type="dxa" w:w="47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Instrument cost per transaction on one workload, and finish the Exercise 1 map of where spend hides.</w:t>
            </w:r>
          </w:p>
        </w:tc>
      </w:tr>
      <w:tr>
        <w:trPr>
          <w:tblHeader w:val="false"/>
        </w:trPr>
        <w:tc>
          <w:tcPr>
            <w:tcW w:type="dxa" w:w="1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b/>
                <w:bCs/>
                <w:color w:val="1A1A1A"/>
                <w:sz w:val="20"/>
                <w:szCs w:val="20"/>
              </w:rPr>
              <w:t xml:space="preserve">60 days</w:t>
            </w:r>
          </w:p>
        </w:tc>
        <w:tc>
          <w:tcPr>
            <w:tcW w:type="dxa" w:w="30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Prove a saving</w:t>
            </w:r>
          </w:p>
        </w:tc>
        <w:tc>
          <w:tcPr>
            <w:tcW w:type="dxa" w:w="47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Apply one lever — caching or routing — to one workload and measure the before/after.</w:t>
            </w:r>
          </w:p>
        </w:tc>
      </w:tr>
      <w:tr>
        <w:trPr>
          <w:tblHeader w:val="false"/>
        </w:trPr>
        <w:tc>
          <w:tcPr>
            <w:tcW w:type="dxa" w:w="16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b/>
                <w:bCs/>
                <w:color w:val="1A1A1A"/>
                <w:sz w:val="20"/>
                <w:szCs w:val="20"/>
              </w:rPr>
              <w:t xml:space="preserve">90 days</w:t>
            </w:r>
          </w:p>
        </w:tc>
        <w:tc>
          <w:tcPr>
            <w:tcW w:type="dxa" w:w="30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Make it stick</w:t>
            </w:r>
          </w:p>
        </w:tc>
        <w:tc>
          <w:tcPr>
            <w:tcW w:type="dxa" w:w="47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Assign owners, separate experimental from production scopes, and take the vendor playbook into one renewal.</w:t>
            </w:r>
          </w:p>
        </w:tc>
      </w:tr>
    </w:tbl>
    <w:p>
      <w:pPr>
        <w:spacing w:after="120" w:before="0"/>
      </w:pPr>
      <w:r>
        <w:rPr>
          <w:rFonts w:ascii="Arial" w:cs="Arial" w:eastAsia="Arial" w:hAnsi="Arial"/>
          <w:color w:val="1A1A1A"/>
          <w:sz w:val="22"/>
          <w:szCs w:val="22"/>
        </w:rPr>
        <w:t xml:space="preserve">End on the framing from the open: the standards are being written now. A team that measures one thing, governs its experiments sensibly, and negotiates with better questions is already ahead of almost everyone — and positioned to shape what comes next.</w:t>
      </w:r>
    </w:p>
    <w:p>
      <w:pPr>
        <w:pBdr>
          <w:left w:val="single" w:color="13808E" w:sz="18" w:space="12"/>
        </w:pBdr>
        <w:spacing w:after="100"/>
        <w:ind w:left="360"/>
      </w:pPr>
      <w:r>
        <w:rPr>
          <w:rFonts w:ascii="Arial" w:cs="Arial" w:eastAsia="Arial" w:hAnsi="Arial"/>
          <w:i/>
          <w:iCs/>
          <w:color w:val="0B5563"/>
          <w:sz w:val="21"/>
          <w:szCs w:val="21"/>
        </w:rPr>
        <w:t xml:space="preserve">“You came in unable to answer ‘what did we spend, and was it worth it?’ You’re leaving with a way to start answering both. Pick your one workload before you leave the room.”</w:t>
      </w:r>
    </w:p>
    <w:p>
      <w:pPr>
        <w:pStyle w:val="Heading1"/>
        <w:pageBreakBefore/>
      </w:pPr>
      <w:r>
        <w:t xml:space="preserve">Anticipated Q&amp;A bank</w:t>
      </w:r>
    </w:p>
    <w:p>
      <w:pPr>
        <w:spacing w:after="120" w:before="0"/>
      </w:pPr>
      <w:r>
        <w:rPr>
          <w:rFonts w:ascii="Arial" w:cs="Arial" w:eastAsia="Arial" w:hAnsi="Arial"/>
          <w:color w:val="1A1A1A"/>
          <w:sz w:val="22"/>
          <w:szCs w:val="22"/>
        </w:rPr>
        <w:t xml:space="preserve">Organized by who is most likely to ask. Read these once before you facilitate; you will hear several of them.</w:t>
      </w:r>
    </w:p>
    <w:p>
      <w:pPr>
        <w:pStyle w:val="Heading2"/>
      </w:pPr>
      <w:r>
        <w:t xml:space="preserve">From technical attendees</w:t>
      </w:r>
    </w:p>
    <w:p>
      <w:pPr>
        <w:spacing w:after="120"/>
      </w:pPr>
      <w:r>
        <w:rPr>
          <w:rFonts w:ascii="Arial" w:cs="Arial" w:eastAsia="Arial" w:hAnsi="Arial"/>
          <w:b/>
          <w:bCs/>
          <w:color w:val="1A1A1A"/>
          <w:sz w:val="22"/>
          <w:szCs w:val="22"/>
        </w:rPr>
        <w:t xml:space="preserve">“Won’t caching give stale or wrong answers?”  </w:t>
      </w:r>
      <w:r>
        <w:rPr>
          <w:rFonts w:ascii="Arial" w:cs="Arial" w:eastAsia="Arial" w:hAnsi="Arial"/>
          <w:color w:val="1A1A1A"/>
          <w:sz w:val="22"/>
          <w:szCs w:val="22"/>
        </w:rPr>
        <w:t xml:space="preserve">Caching reuses the processed context, not the answer, for prompt-level caching — the model still generates fresh output. Semantic (response-level) caching can return prior answers, so you set a similarity threshold and scope it to stable queries. Staleness is a tuning problem, not a reason to skip the single biggest saving.</w:t>
      </w:r>
    </w:p>
    <w:p>
      <w:pPr>
        <w:spacing w:after="120"/>
      </w:pPr>
      <w:r>
        <w:rPr>
          <w:rFonts w:ascii="Arial" w:cs="Arial" w:eastAsia="Arial" w:hAnsi="Arial"/>
          <w:b/>
          <w:bCs/>
          <w:color w:val="1A1A1A"/>
          <w:sz w:val="22"/>
          <w:szCs w:val="22"/>
        </w:rPr>
        <w:t xml:space="preserve">“Doesn’t routing add latency?”  </w:t>
      </w:r>
      <w:r>
        <w:rPr>
          <w:rFonts w:ascii="Arial" w:cs="Arial" w:eastAsia="Arial" w:hAnsi="Arial"/>
          <w:color w:val="1A1A1A"/>
          <w:sz w:val="22"/>
          <w:szCs w:val="22"/>
        </w:rPr>
        <w:t xml:space="preserve">A lightweight classifier or rule adds little, and you can default to the cheap model and escalate only on low confidence. The latency cost is usually small next to the spend saved.</w:t>
      </w:r>
    </w:p>
    <w:p>
      <w:pPr>
        <w:spacing w:after="120"/>
      </w:pPr>
      <w:r>
        <w:rPr>
          <w:rFonts w:ascii="Arial" w:cs="Arial" w:eastAsia="Arial" w:hAnsi="Arial"/>
          <w:b/>
          <w:bCs/>
          <w:color w:val="1A1A1A"/>
          <w:sz w:val="22"/>
          <w:szCs w:val="22"/>
        </w:rPr>
        <w:t xml:space="preserve">“Should we just self-host open models?”  </w:t>
      </w:r>
      <w:r>
        <w:rPr>
          <w:rFonts w:ascii="Arial" w:cs="Arial" w:eastAsia="Arial" w:hAnsi="Arial"/>
          <w:color w:val="1A1A1A"/>
          <w:sz w:val="22"/>
          <w:szCs w:val="22"/>
        </w:rPr>
        <w:t xml:space="preserve">Sometimes — typically once volume is very high and steady. Below that, you trade a per-token bill for GPU infrastructure and ops you now own. It’s a real option, not a default; make it a measured decision, not a reflex.</w:t>
      </w:r>
    </w:p>
    <w:p>
      <w:pPr>
        <w:pStyle w:val="Heading2"/>
      </w:pPr>
      <w:r>
        <w:t xml:space="preserve">From finance / procurement / FinOps</w:t>
      </w:r>
    </w:p>
    <w:p>
      <w:pPr>
        <w:spacing w:after="120"/>
      </w:pPr>
      <w:r>
        <w:rPr>
          <w:rFonts w:ascii="Arial" w:cs="Arial" w:eastAsia="Arial" w:hAnsi="Arial"/>
          <w:b/>
          <w:bCs/>
          <w:color w:val="1A1A1A"/>
          <w:sz w:val="22"/>
          <w:szCs w:val="22"/>
        </w:rPr>
        <w:t xml:space="preserve">“How do we budget when prices keep changing?”  </w:t>
      </w:r>
      <w:r>
        <w:rPr>
          <w:rFonts w:ascii="Arial" w:cs="Arial" w:eastAsia="Arial" w:hAnsi="Arial"/>
          <w:color w:val="1A1A1A"/>
          <w:sz w:val="22"/>
          <w:szCs w:val="22"/>
        </w:rPr>
        <w:t xml:space="preserve">Budget on consumption units (tokens or transactions), not on price, and track price as a separate variable. That separates ‘we used more’ from ‘it got cheaper/dearer,’ which is exactly the diagnosis you need.</w:t>
      </w:r>
    </w:p>
    <w:p>
      <w:pPr>
        <w:spacing w:after="120"/>
      </w:pPr>
      <w:r>
        <w:rPr>
          <w:rFonts w:ascii="Arial" w:cs="Arial" w:eastAsia="Arial" w:hAnsi="Arial"/>
          <w:b/>
          <w:bCs/>
          <w:color w:val="1A1A1A"/>
          <w:sz w:val="22"/>
          <w:szCs w:val="22"/>
        </w:rPr>
        <w:t xml:space="preserve">“How do we charge this back to teams?”  </w:t>
      </w:r>
      <w:r>
        <w:rPr>
          <w:rFonts w:ascii="Arial" w:cs="Arial" w:eastAsia="Arial" w:hAnsi="Arial"/>
          <w:color w:val="1A1A1A"/>
          <w:sz w:val="22"/>
          <w:szCs w:val="22"/>
        </w:rPr>
        <w:t xml:space="preserve">Start with showback — show teams their spend — before chargeback. You need per-team allocation working first, which is why allocation is in the starter kit.</w:t>
      </w:r>
    </w:p>
    <w:p>
      <w:pPr>
        <w:spacing w:after="120"/>
      </w:pPr>
      <w:r>
        <w:rPr>
          <w:rFonts w:ascii="Arial" w:cs="Arial" w:eastAsia="Arial" w:hAnsi="Arial"/>
          <w:b/>
          <w:bCs/>
          <w:color w:val="1A1A1A"/>
          <w:sz w:val="22"/>
          <w:szCs w:val="22"/>
        </w:rPr>
        <w:t xml:space="preserve">“Is this capex or opex?”  </w:t>
      </w:r>
      <w:r>
        <w:rPr>
          <w:rFonts w:ascii="Arial" w:cs="Arial" w:eastAsia="Arial" w:hAnsi="Arial"/>
          <w:color w:val="1A1A1A"/>
          <w:sz w:val="22"/>
          <w:szCs w:val="22"/>
        </w:rPr>
        <w:t xml:space="preserve">API token spend is operating expense — metered, like cloud. Self-hosting shifts some of it toward capex. The mix matters for how you plan and report it.</w:t>
      </w:r>
    </w:p>
    <w:p>
      <w:pPr>
        <w:pStyle w:val="Heading2"/>
      </w:pPr>
      <w:r>
        <w:t xml:space="preserve">From leadership</w:t>
      </w:r>
    </w:p>
    <w:p>
      <w:pPr>
        <w:spacing w:after="120"/>
      </w:pPr>
      <w:r>
        <w:rPr>
          <w:rFonts w:ascii="Arial" w:cs="Arial" w:eastAsia="Arial" w:hAnsi="Arial"/>
          <w:b/>
          <w:bCs/>
          <w:color w:val="1A1A1A"/>
          <w:sz w:val="22"/>
          <w:szCs w:val="22"/>
        </w:rPr>
        <w:t xml:space="preserve">“Is this just cost-cutting?”  </w:t>
      </w:r>
      <w:r>
        <w:rPr>
          <w:rFonts w:ascii="Arial" w:cs="Arial" w:eastAsia="Arial" w:hAnsi="Arial"/>
          <w:color w:val="1A1A1A"/>
          <w:sz w:val="22"/>
          <w:szCs w:val="22"/>
        </w:rPr>
        <w:t xml:space="preserve">No — it’s margin protection and informed investment. The same visibility that cuts waste lets you spend confidently on the AI that pays off. The goal is value, not just lower bills.</w:t>
      </w:r>
    </w:p>
    <w:p>
      <w:pPr>
        <w:spacing w:after="120"/>
      </w:pPr>
      <w:r>
        <w:rPr>
          <w:rFonts w:ascii="Arial" w:cs="Arial" w:eastAsia="Arial" w:hAnsi="Arial"/>
          <w:b/>
          <w:bCs/>
          <w:color w:val="1A1A1A"/>
          <w:sz w:val="22"/>
          <w:szCs w:val="22"/>
        </w:rPr>
        <w:t xml:space="preserve">“How exposed are we, really?”  </w:t>
      </w:r>
      <w:r>
        <w:rPr>
          <w:rFonts w:ascii="Arial" w:cs="Arial" w:eastAsia="Arial" w:hAnsi="Arial"/>
          <w:color w:val="1A1A1A"/>
          <w:sz w:val="22"/>
          <w:szCs w:val="22"/>
        </w:rPr>
        <w:t xml:space="preserve">That’s exactly what Exercises 1 and 2 surface. The honest answer for most organizations today is ‘more than we can currently see,’ and the fix is the measurement work in Block 4.</w:t>
      </w:r>
    </w:p>
    <w:p>
      <w:pPr>
        <w:spacing w:after="120"/>
      </w:pPr>
      <w:r>
        <w:rPr>
          <w:rFonts w:ascii="Arial" w:cs="Arial" w:eastAsia="Arial" w:hAnsi="Arial"/>
          <w:b/>
          <w:bCs/>
          <w:color w:val="1A1A1A"/>
          <w:sz w:val="22"/>
          <w:szCs w:val="22"/>
        </w:rPr>
        <w:t xml:space="preserve">“Why act now instead of waiting for standards?”  </w:t>
      </w:r>
      <w:r>
        <w:rPr>
          <w:rFonts w:ascii="Arial" w:cs="Arial" w:eastAsia="Arial" w:hAnsi="Arial"/>
          <w:color w:val="1A1A1A"/>
          <w:sz w:val="22"/>
          <w:szCs w:val="22"/>
        </w:rPr>
        <w:t xml:space="preserve">Because spend compounds while you wait, and because the teams measuring now are the ones shaping the standards forming this year. Waiting is the expensive option.</w:t>
      </w:r>
    </w:p>
    <w:p>
      <w:pPr>
        <w:pStyle w:val="Heading1"/>
        <w:pageBreakBefore/>
      </w:pPr>
      <w:r>
        <w:t xml:space="preserve">Glossary</w:t>
      </w:r>
    </w:p>
    <w:p>
      <w:pPr>
        <w:spacing w:after="90"/>
      </w:pPr>
      <w:r>
        <w:rPr>
          <w:rFonts w:ascii="Arial" w:cs="Arial" w:eastAsia="Arial" w:hAnsi="Arial"/>
          <w:b/>
          <w:bCs/>
          <w:color w:val="0B5563"/>
          <w:sz w:val="22"/>
          <w:szCs w:val="22"/>
        </w:rPr>
        <w:t xml:space="preserve">Token — </w:t>
      </w:r>
      <w:r>
        <w:rPr>
          <w:rFonts w:ascii="Arial" w:cs="Arial" w:eastAsia="Arial" w:hAnsi="Arial"/>
          <w:color w:val="1A1A1A"/>
          <w:sz w:val="22"/>
          <w:szCs w:val="22"/>
        </w:rPr>
        <w:t xml:space="preserve">The unit AI models are billed on — roughly a chunk of text. ~1,000 tokens ≈ 750 words.</w:t>
      </w:r>
    </w:p>
    <w:p>
      <w:pPr>
        <w:spacing w:after="90"/>
      </w:pPr>
      <w:r>
        <w:rPr>
          <w:rFonts w:ascii="Arial" w:cs="Arial" w:eastAsia="Arial" w:hAnsi="Arial"/>
          <w:b/>
          <w:bCs/>
          <w:color w:val="0B5563"/>
          <w:sz w:val="22"/>
          <w:szCs w:val="22"/>
        </w:rPr>
        <w:t xml:space="preserve">Input vs output tokens — </w:t>
      </w:r>
      <w:r>
        <w:rPr>
          <w:rFonts w:ascii="Arial" w:cs="Arial" w:eastAsia="Arial" w:hAnsi="Arial"/>
          <w:color w:val="1A1A1A"/>
          <w:sz w:val="22"/>
          <w:szCs w:val="22"/>
        </w:rPr>
        <w:t xml:space="preserve">Input is what you send; output is what the model generates. Output typically costs 3–10x more.</w:t>
      </w:r>
    </w:p>
    <w:p>
      <w:pPr>
        <w:spacing w:after="90"/>
      </w:pPr>
      <w:r>
        <w:rPr>
          <w:rFonts w:ascii="Arial" w:cs="Arial" w:eastAsia="Arial" w:hAnsi="Arial"/>
          <w:b/>
          <w:bCs/>
          <w:color w:val="0B5563"/>
          <w:sz w:val="22"/>
          <w:szCs w:val="22"/>
        </w:rPr>
        <w:t xml:space="preserve">Inference — </w:t>
      </w:r>
      <w:r>
        <w:rPr>
          <w:rFonts w:ascii="Arial" w:cs="Arial" w:eastAsia="Arial" w:hAnsi="Arial"/>
          <w:color w:val="1A1A1A"/>
          <w:sz w:val="22"/>
          <w:szCs w:val="22"/>
        </w:rPr>
        <w:t xml:space="preserve">Running a trained model to produce an answer — the part you pay for per token.</w:t>
      </w:r>
    </w:p>
    <w:p>
      <w:pPr>
        <w:spacing w:after="90"/>
      </w:pPr>
      <w:r>
        <w:rPr>
          <w:rFonts w:ascii="Arial" w:cs="Arial" w:eastAsia="Arial" w:hAnsi="Arial"/>
          <w:b/>
          <w:bCs/>
          <w:color w:val="0B5563"/>
          <w:sz w:val="22"/>
          <w:szCs w:val="22"/>
        </w:rPr>
        <w:t xml:space="preserve">Context window — </w:t>
      </w:r>
      <w:r>
        <w:rPr>
          <w:rFonts w:ascii="Arial" w:cs="Arial" w:eastAsia="Arial" w:hAnsi="Arial"/>
          <w:color w:val="1A1A1A"/>
          <w:sz w:val="22"/>
          <w:szCs w:val="22"/>
        </w:rPr>
        <w:t xml:space="preserve">The maximum amount of text a model can consider at once. Larger contexts cost more per call.</w:t>
      </w:r>
    </w:p>
    <w:p>
      <w:pPr>
        <w:spacing w:after="90"/>
      </w:pPr>
      <w:r>
        <w:rPr>
          <w:rFonts w:ascii="Arial" w:cs="Arial" w:eastAsia="Arial" w:hAnsi="Arial"/>
          <w:b/>
          <w:bCs/>
          <w:color w:val="0B5563"/>
          <w:sz w:val="22"/>
          <w:szCs w:val="22"/>
        </w:rPr>
        <w:t xml:space="preserve">Prompt caching — </w:t>
      </w:r>
      <w:r>
        <w:rPr>
          <w:rFonts w:ascii="Arial" w:cs="Arial" w:eastAsia="Arial" w:hAnsi="Arial"/>
          <w:color w:val="1A1A1A"/>
          <w:sz w:val="22"/>
          <w:szCs w:val="22"/>
        </w:rPr>
        <w:t xml:space="preserve">Reusing the processed state of a stable prompt prefix to avoid re-paying to read it — up to ~90% off cached input.</w:t>
      </w:r>
    </w:p>
    <w:p>
      <w:pPr>
        <w:spacing w:after="90"/>
      </w:pPr>
      <w:r>
        <w:rPr>
          <w:rFonts w:ascii="Arial" w:cs="Arial" w:eastAsia="Arial" w:hAnsi="Arial"/>
          <w:b/>
          <w:bCs/>
          <w:color w:val="0B5563"/>
          <w:sz w:val="22"/>
          <w:szCs w:val="22"/>
        </w:rPr>
        <w:t xml:space="preserve">Semantic caching — </w:t>
      </w:r>
      <w:r>
        <w:rPr>
          <w:rFonts w:ascii="Arial" w:cs="Arial" w:eastAsia="Arial" w:hAnsi="Arial"/>
          <w:color w:val="1A1A1A"/>
          <w:sz w:val="22"/>
          <w:szCs w:val="22"/>
        </w:rPr>
        <w:t xml:space="preserve">Returning a stored answer when a new request is similar enough to a previous one, set by a threshold.</w:t>
      </w:r>
    </w:p>
    <w:p>
      <w:pPr>
        <w:spacing w:after="90"/>
      </w:pPr>
      <w:r>
        <w:rPr>
          <w:rFonts w:ascii="Arial" w:cs="Arial" w:eastAsia="Arial" w:hAnsi="Arial"/>
          <w:b/>
          <w:bCs/>
          <w:color w:val="0B5563"/>
          <w:sz w:val="22"/>
          <w:szCs w:val="22"/>
        </w:rPr>
        <w:t xml:space="preserve">Model routing — </w:t>
      </w:r>
      <w:r>
        <w:rPr>
          <w:rFonts w:ascii="Arial" w:cs="Arial" w:eastAsia="Arial" w:hAnsi="Arial"/>
          <w:color w:val="1A1A1A"/>
          <w:sz w:val="22"/>
          <w:szCs w:val="22"/>
        </w:rPr>
        <w:t xml:space="preserve">Sending each request to the cheapest model that meets the quality bar; cascading escalates only hard cases.</w:t>
      </w:r>
    </w:p>
    <w:p>
      <w:pPr>
        <w:spacing w:after="90"/>
      </w:pPr>
      <w:r>
        <w:rPr>
          <w:rFonts w:ascii="Arial" w:cs="Arial" w:eastAsia="Arial" w:hAnsi="Arial"/>
          <w:b/>
          <w:bCs/>
          <w:color w:val="0B5563"/>
          <w:sz w:val="22"/>
          <w:szCs w:val="22"/>
        </w:rPr>
        <w:t xml:space="preserve">Batch API — </w:t>
      </w:r>
      <w:r>
        <w:rPr>
          <w:rFonts w:ascii="Arial" w:cs="Arial" w:eastAsia="Arial" w:hAnsi="Arial"/>
          <w:color w:val="1A1A1A"/>
          <w:sz w:val="22"/>
          <w:szCs w:val="22"/>
        </w:rPr>
        <w:t xml:space="preserve">An asynchronous endpoint for non-urgent jobs, usually ~50% cheaper.</w:t>
      </w:r>
    </w:p>
    <w:p>
      <w:pPr>
        <w:spacing w:after="90"/>
      </w:pPr>
      <w:r>
        <w:rPr>
          <w:rFonts w:ascii="Arial" w:cs="Arial" w:eastAsia="Arial" w:hAnsi="Arial"/>
          <w:b/>
          <w:bCs/>
          <w:color w:val="0B5563"/>
          <w:sz w:val="22"/>
          <w:szCs w:val="22"/>
        </w:rPr>
        <w:t xml:space="preserve">FinOps Scopes — </w:t>
      </w:r>
      <w:r>
        <w:rPr>
          <w:rFonts w:ascii="Arial" w:cs="Arial" w:eastAsia="Arial" w:hAnsi="Arial"/>
          <w:color w:val="1A1A1A"/>
          <w:sz w:val="22"/>
          <w:szCs w:val="22"/>
        </w:rPr>
        <w:t xml:space="preserve">Defined segments of spend (e.g., a product, a cost center, an environment) governed to different tolerances.</w:t>
      </w:r>
    </w:p>
    <w:p>
      <w:pPr>
        <w:spacing w:after="90"/>
      </w:pPr>
      <w:r>
        <w:rPr>
          <w:rFonts w:ascii="Arial" w:cs="Arial" w:eastAsia="Arial" w:hAnsi="Arial"/>
          <w:b/>
          <w:bCs/>
          <w:color w:val="0B5563"/>
          <w:sz w:val="22"/>
          <w:szCs w:val="22"/>
        </w:rPr>
        <w:t xml:space="preserve">Showback / chargeback — </w:t>
      </w:r>
      <w:r>
        <w:rPr>
          <w:rFonts w:ascii="Arial" w:cs="Arial" w:eastAsia="Arial" w:hAnsi="Arial"/>
          <w:color w:val="1A1A1A"/>
          <w:sz w:val="22"/>
          <w:szCs w:val="22"/>
        </w:rPr>
        <w:t xml:space="preserve">Showing teams their spend (showback) versus billing them for it (chargeback).</w:t>
      </w:r>
    </w:p>
    <w:p>
      <w:pPr>
        <w:spacing w:after="90"/>
      </w:pPr>
      <w:r>
        <w:rPr>
          <w:rFonts w:ascii="Arial" w:cs="Arial" w:eastAsia="Arial" w:hAnsi="Arial"/>
          <w:b/>
          <w:bCs/>
          <w:color w:val="0B5563"/>
          <w:sz w:val="22"/>
          <w:szCs w:val="22"/>
        </w:rPr>
        <w:t xml:space="preserve">Cost per transaction — </w:t>
      </w:r>
      <w:r>
        <w:rPr>
          <w:rFonts w:ascii="Arial" w:cs="Arial" w:eastAsia="Arial" w:hAnsi="Arial"/>
          <w:color w:val="1A1A1A"/>
          <w:sz w:val="22"/>
          <w:szCs w:val="22"/>
        </w:rPr>
        <w:t xml:space="preserve">Spend attributed to a single unit of work — the metric most organizations still lack.</w:t>
      </w:r>
    </w:p>
    <w:p>
      <w:pPr>
        <w:spacing w:after="90"/>
      </w:pPr>
      <w:r>
        <w:rPr>
          <w:rFonts w:ascii="Arial" w:cs="Arial" w:eastAsia="Arial" w:hAnsi="Arial"/>
          <w:b/>
          <w:bCs/>
          <w:color w:val="0B5563"/>
          <w:sz w:val="22"/>
          <w:szCs w:val="22"/>
        </w:rPr>
        <w:t xml:space="preserve">COGS — </w:t>
      </w:r>
      <w:r>
        <w:rPr>
          <w:rFonts w:ascii="Arial" w:cs="Arial" w:eastAsia="Arial" w:hAnsi="Arial"/>
          <w:color w:val="1A1A1A"/>
          <w:sz w:val="22"/>
          <w:szCs w:val="22"/>
        </w:rPr>
        <w:t xml:space="preserve">Cost of goods sold. For AI products, token cost is increasingly part of it.</w:t>
      </w:r>
    </w:p>
    <w:p>
      <w:pPr>
        <w:pStyle w:val="Heading1"/>
        <w:pageBreakBefore/>
      </w:pPr>
      <w:r>
        <w:t xml:space="preserve">Facilitator cheat-sheet</w:t>
      </w:r>
    </w:p>
    <w:p>
      <w:pPr>
        <w:spacing w:after="120" w:before="0"/>
      </w:pPr>
      <w:r>
        <w:rPr>
          <w:rFonts w:ascii="Arial" w:cs="Arial" w:eastAsia="Arial" w:hAnsi="Arial"/>
          <w:color w:val="1A1A1A"/>
          <w:sz w:val="22"/>
          <w:szCs w:val="22"/>
        </w:rPr>
        <w:t xml:space="preserve">The numbers to have cold. Print this page and keep it in front of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Have this ready</w:t>
            </w:r>
          </w:p>
        </w:tc>
        <w:tc>
          <w:tcPr>
            <w:tcW w:type="dxa" w:w="3960"/>
            <w:tcBorders>
              <w:top w:val="single" w:color="C9D6D8" w:sz="1"/>
              <w:left w:val="single" w:color="C9D6D8" w:sz="1"/>
              <w:bottom w:val="single" w:color="C9D6D8" w:sz="1"/>
              <w:right w:val="single" w:color="C9D6D8" w:sz="1"/>
            </w:tcBorders>
            <w:shd w:fill="0B5563" w:val="clear"/>
            <w:tcMar>
              <w:top w:type="dxa" w:w="70"/>
              <w:left w:type="dxa" w:w="110"/>
              <w:bottom w:type="dxa" w:w="70"/>
              <w:right w:type="dxa" w:w="110"/>
            </w:tcMar>
          </w:tcPr>
          <w:p>
            <w:r>
              <w:rPr>
                <w:rFonts w:ascii="Arial" w:cs="Arial" w:eastAsia="Arial" w:hAnsi="Arial"/>
                <w:b/>
                <w:bCs/>
                <w:color w:val="FFFFFF"/>
                <w:sz w:val="20"/>
                <w:szCs w:val="20"/>
              </w:rPr>
              <w:t xml:space="preserve">The figure</w:t>
            </w:r>
          </w:p>
        </w:tc>
      </w:tr>
      <w:tr>
        <w:trPr>
          <w:tblHeader w:val="false"/>
        </w:trPr>
        <w:tc>
          <w:tcPr>
            <w:tcW w:type="dxa" w:w="5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Per-token price spread across the market</w:t>
            </w:r>
          </w:p>
        </w:tc>
        <w:tc>
          <w:tcPr>
            <w:tcW w:type="dxa" w:w="39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~$0.10 to ~$30 per million input tokens</w:t>
            </w:r>
          </w:p>
        </w:tc>
      </w:tr>
      <w:tr>
        <w:trPr>
          <w:tblHeader w:val="false"/>
        </w:trPr>
        <w:tc>
          <w:tcPr>
            <w:tcW w:type="dxa" w:w="5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Price spread within a single provider</w:t>
            </w:r>
          </w:p>
        </w:tc>
        <w:tc>
          <w:tcPr>
            <w:tcW w:type="dxa" w:w="39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up to ~150x</w:t>
            </w:r>
          </w:p>
        </w:tc>
      </w:tr>
      <w:tr>
        <w:trPr>
          <w:tblHeader w:val="false"/>
        </w:trPr>
        <w:tc>
          <w:tcPr>
            <w:tcW w:type="dxa" w:w="5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Output vs input cost</w:t>
            </w:r>
          </w:p>
        </w:tc>
        <w:tc>
          <w:tcPr>
            <w:tcW w:type="dxa" w:w="39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output ~3–10x input</w:t>
            </w:r>
          </w:p>
        </w:tc>
      </w:tr>
      <w:tr>
        <w:trPr>
          <w:tblHeader w:val="false"/>
        </w:trPr>
        <w:tc>
          <w:tcPr>
            <w:tcW w:type="dxa" w:w="5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Prompt caching discount</w:t>
            </w:r>
          </w:p>
        </w:tc>
        <w:tc>
          <w:tcPr>
            <w:tcW w:type="dxa" w:w="39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up to ~90% off cached input</w:t>
            </w:r>
          </w:p>
        </w:tc>
      </w:tr>
      <w:tr>
        <w:trPr>
          <w:tblHeader w:val="false"/>
        </w:trPr>
        <w:tc>
          <w:tcPr>
            <w:tcW w:type="dxa" w:w="5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Batch discount</w:t>
            </w:r>
          </w:p>
        </w:tc>
        <w:tc>
          <w:tcPr>
            <w:tcW w:type="dxa" w:w="39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~50% off</w:t>
            </w:r>
          </w:p>
        </w:tc>
      </w:tr>
      <w:tr>
        <w:trPr>
          <w:tblHeader w:val="false"/>
        </w:trPr>
        <w:tc>
          <w:tcPr>
            <w:tcW w:type="dxa" w:w="5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Combined cache + route + compress</w:t>
            </w:r>
          </w:p>
        </w:tc>
        <w:tc>
          <w:tcPr>
            <w:tcW w:type="dxa" w:w="39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~60–80% bill reduction</w:t>
            </w:r>
          </w:p>
        </w:tc>
      </w:tr>
      <w:tr>
        <w:trPr>
          <w:tblHeader w:val="false"/>
        </w:trPr>
        <w:tc>
          <w:tcPr>
            <w:tcW w:type="dxa" w:w="5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FinOps teams managing AI spend (2026 vs 2024)</w:t>
            </w:r>
          </w:p>
        </w:tc>
        <w:tc>
          <w:tcPr>
            <w:tcW w:type="dxa" w:w="39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~98% vs ~31%</w:t>
            </w:r>
          </w:p>
        </w:tc>
      </w:tr>
      <w:tr>
        <w:trPr>
          <w:tblHeader w:val="false"/>
        </w:trPr>
        <w:tc>
          <w:tcPr>
            <w:tcW w:type="dxa" w:w="5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Orgs tracking AI spend per transaction</w:t>
            </w:r>
          </w:p>
        </w:tc>
        <w:tc>
          <w:tcPr>
            <w:tcW w:type="dxa" w:w="39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~22%</w:t>
            </w:r>
          </w:p>
        </w:tc>
      </w:tr>
      <w:tr>
        <w:trPr>
          <w:tblHeader w:val="false"/>
        </w:trPr>
        <w:tc>
          <w:tcPr>
            <w:tcW w:type="dxa" w:w="5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Pilot-to-production sticker shock</w:t>
            </w:r>
          </w:p>
        </w:tc>
        <w:tc>
          <w:tcPr>
            <w:tcW w:type="dxa" w:w="39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$200/mo → $200,000/mo</w:t>
            </w:r>
          </w:p>
        </w:tc>
      </w:tr>
      <w:tr>
        <w:trPr>
          <w:tblHeader w:val="false"/>
        </w:trPr>
        <w:tc>
          <w:tcPr>
            <w:tcW w:type="dxa" w:w="540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GPU vs CPU compute cost</w:t>
            </w:r>
          </w:p>
        </w:tc>
        <w:tc>
          <w:tcPr>
            <w:tcW w:type="dxa" w:w="3960"/>
            <w:tcBorders>
              <w:top w:val="single" w:color="C9D6D8" w:sz="1"/>
              <w:left w:val="single" w:color="C9D6D8" w:sz="1"/>
              <w:bottom w:val="single" w:color="C9D6D8" w:sz="1"/>
              <w:right w:val="single" w:color="C9D6D8" w:sz="1"/>
            </w:tcBorders>
            <w:tcMar>
              <w:top w:type="dxa" w:w="70"/>
              <w:left w:type="dxa" w:w="110"/>
              <w:bottom w:type="dxa" w:w="70"/>
              <w:right w:type="dxa" w:w="110"/>
            </w:tcMar>
          </w:tcPr>
          <w:p>
            <w:r>
              <w:rPr>
                <w:rFonts w:ascii="Arial" w:cs="Arial" w:eastAsia="Arial" w:hAnsi="Arial"/>
                <w:color w:val="1A1A1A"/>
                <w:sz w:val="20"/>
                <w:szCs w:val="20"/>
              </w:rPr>
              <w:t xml:space="preserve">~15x</w:t>
            </w:r>
          </w:p>
        </w:tc>
      </w:tr>
    </w:tbl>
    <w:p>
      <w:pPr>
        <w:spacing w:after="40" w:before="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E8F1F2" w:val="clear"/>
            <w:tcMar>
              <w:top w:type="dxa" w:w="140"/>
              <w:left w:type="dxa" w:w="200"/>
              <w:bottom w:type="dxa" w:w="140"/>
              <w:right w:type="dxa" w:w="200"/>
            </w:tcMar>
          </w:tcPr>
          <w:p>
            <w:pPr>
              <w:spacing w:after="60"/>
            </w:pPr>
            <w:r>
              <w:rPr>
                <w:rFonts w:ascii="Arial" w:cs="Arial" w:eastAsia="Arial" w:hAnsi="Arial"/>
                <w:b/>
                <w:bCs/>
                <w:color w:val="13808E"/>
                <w:sz w:val="21"/>
                <w:szCs w:val="21"/>
              </w:rPr>
              <w:t xml:space="preserve">Three sentences that carry the whole workshop</w:t>
            </w:r>
          </w:p>
          <w:p>
            <w:pPr>
              <w:spacing w:after="40"/>
            </w:pPr>
            <w:r>
              <w:rPr>
                <w:rFonts w:ascii="Arial" w:cs="Arial" w:eastAsia="Arial" w:hAnsi="Arial"/>
                <w:color w:val="1A1A1A"/>
                <w:sz w:val="21"/>
                <w:szCs w:val="21"/>
              </w:rPr>
              <w:t xml:space="preserve">1. AI spend is near-universal and barely measured — that gap is the opportunity.</w:t>
            </w:r>
          </w:p>
          <w:p>
            <w:pPr>
              <w:spacing w:after="40"/>
            </w:pPr>
            <w:r>
              <w:rPr>
                <w:rFonts w:ascii="Arial" w:cs="Arial" w:eastAsia="Arial" w:hAnsi="Arial"/>
                <w:color w:val="1A1A1A"/>
                <w:sz w:val="21"/>
                <w:szCs w:val="21"/>
              </w:rPr>
              <w:t xml:space="preserve">2. The cheapest model per token is not the cheapest model per task.</w:t>
            </w:r>
          </w:p>
          <w:p>
            <w:pPr>
              <w:spacing w:after="40"/>
            </w:pPr>
            <w:r>
              <w:rPr>
                <w:rFonts w:ascii="Arial" w:cs="Arial" w:eastAsia="Arial" w:hAnsi="Arial"/>
                <w:color w:val="1A1A1A"/>
                <w:sz w:val="21"/>
                <w:szCs w:val="21"/>
              </w:rPr>
              <w:t xml:space="preserve">3. You don’t wait for standards to count your gold — measure one thing now.</w:t>
            </w:r>
          </w:p>
        </w:tc>
      </w:tr>
    </w:tbl>
    <w:p>
      <w:pPr>
        <w:pStyle w:val="Heading1"/>
        <w:pageBreakBefore/>
      </w:pPr>
      <w:r>
        <w:t xml:space="preserve">Sources &amp; further reading</w:t>
      </w:r>
    </w:p>
    <w:p>
      <w:pPr>
        <w:spacing w:after="120" w:before="0"/>
      </w:pPr>
      <w:r>
        <w:rPr>
          <w:rFonts w:ascii="Arial" w:cs="Arial" w:eastAsia="Arial" w:hAnsi="Arial"/>
          <w:color w:val="1A1A1A"/>
          <w:sz w:val="22"/>
          <w:szCs w:val="22"/>
        </w:rPr>
        <w:t xml:space="preserve">Figures reflect the AI cost landscape as of mid-2026; per-token prices move quickly, so re-check before each delivery.</w:t>
      </w:r>
    </w:p>
    <w:p>
      <w:pPr>
        <w:pStyle w:val="ListParagraph"/>
        <w:numPr>
          <w:ilvl w:val="0"/>
          <w:numId w:val="2"/>
        </w:numPr>
        <w:spacing w:after="60"/>
      </w:pPr>
      <w:r>
        <w:rPr>
          <w:rFonts w:ascii="Arial" w:cs="Arial" w:eastAsia="Arial" w:hAnsi="Arial"/>
          <w:color w:val="1A1A1A"/>
          <w:sz w:val="22"/>
          <w:szCs w:val="22"/>
        </w:rPr>
        <w:t xml:space="preserve">FinOps Foundation — State of FinOps 2026 and the 2026 Framework (FinOps for AI, Scopes, Executive Strategy Alignment): finops.org</w:t>
      </w:r>
    </w:p>
    <w:p>
      <w:pPr>
        <w:pStyle w:val="ListParagraph"/>
        <w:numPr>
          <w:ilvl w:val="0"/>
          <w:numId w:val="2"/>
        </w:numPr>
        <w:spacing w:after="60"/>
      </w:pPr>
      <w:r>
        <w:rPr>
          <w:rFonts w:ascii="Arial" w:cs="Arial" w:eastAsia="Arial" w:hAnsi="Arial"/>
          <w:color w:val="1A1A1A"/>
          <w:sz w:val="22"/>
          <w:szCs w:val="22"/>
        </w:rPr>
        <w:t xml:space="preserve">FinOps X 2026 keynote coverage — token economics and the intent to form a Tokenomics Foundation.</w:t>
      </w:r>
    </w:p>
    <w:p>
      <w:pPr>
        <w:pStyle w:val="ListParagraph"/>
        <w:numPr>
          <w:ilvl w:val="0"/>
          <w:numId w:val="2"/>
        </w:numPr>
        <w:spacing w:after="60"/>
      </w:pPr>
      <w:r>
        <w:rPr>
          <w:rFonts w:ascii="Arial" w:cs="Arial" w:eastAsia="Arial" w:hAnsi="Arial"/>
          <w:color w:val="1A1A1A"/>
          <w:sz w:val="22"/>
          <w:szCs w:val="22"/>
        </w:rPr>
        <w:t xml:space="preserve">Current LLM API pricing trackers (re-verify before delivery): provider pricing pages and 2026 comparison guides.</w:t>
      </w:r>
    </w:p>
    <w:p>
      <w:pPr>
        <w:pStyle w:val="ListParagraph"/>
        <w:numPr>
          <w:ilvl w:val="0"/>
          <w:numId w:val="2"/>
        </w:numPr>
        <w:spacing w:after="60"/>
      </w:pPr>
      <w:r>
        <w:rPr>
          <w:rFonts w:ascii="Arial" w:cs="Arial" w:eastAsia="Arial" w:hAnsi="Arial"/>
          <w:color w:val="1A1A1A"/>
          <w:sz w:val="22"/>
          <w:szCs w:val="22"/>
        </w:rPr>
        <w:t xml:space="preserve">LLM cost optimization guides — caching, routing, batching, and compression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A5A5A"/>
        <w:sz w:val="16"/>
        <w:szCs w:val="16"/>
      </w:rPr>
      <w:t xml:space="preserve">Vendor-neutral · for internal facilitation</w:t>
    </w:r>
    <w:r>
      <w:rPr>
        <w:rFonts w:ascii="Arial" w:cs="Arial" w:eastAsia="Arial" w:hAnsi="Arial"/>
        <w:color w:val="5A5A5A"/>
        <w:sz w:val="16"/>
        <w:szCs w:val="16"/>
      </w:rPr>
      <w:t xml:space="preserve">	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6E7" w:sz="4" w:space="4"/>
      </w:pBdr>
      <w:tabs>
        <w:tab w:val="right" w:pos="9026"/>
      </w:tabs>
    </w:pPr>
    <w:r>
      <w:rPr>
        <w:rFonts w:ascii="Arial" w:cs="Arial" w:eastAsia="Arial" w:hAnsi="Arial"/>
        <w:color w:val="5A5A5A"/>
        <w:sz w:val="16"/>
        <w:szCs w:val="16"/>
      </w:rPr>
      <w:t xml:space="preserve">Tokenomics Workshop</w:t>
    </w:r>
    <w:r>
      <w:rPr>
        <w:rFonts w:ascii="Arial" w:cs="Arial" w:eastAsia="Arial" w:hAnsi="Arial"/>
        <w:color w:val="5A5A5A"/>
        <w:sz w:val="16"/>
        <w:szCs w:val="16"/>
      </w:rPr>
      <w:t xml:space="preserve">	Facilitator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D4D6" w:sz="8" w:space="6"/>
      </w:pBdr>
      <w:spacing w:after="160" w:before="280"/>
      <w:outlineLvl w:val="0"/>
    </w:pPr>
    <w:rPr>
      <w:rFonts w:ascii="Arial" w:cs="Arial" w:eastAsia="Arial" w:hAnsi="Arial"/>
      <w:b/>
      <w:bCs/>
      <w:color w:val="0B5563"/>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1A1A1A"/>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3808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Tokenomics Workshop — Facilitator Guide</dc:title>
  <dc:creator>Tokenomics Workshop</dc:creator>
  <cp:lastModifiedBy>Un-named</cp:lastModifiedBy>
  <cp:revision>1</cp:revision>
  <dcterms:created xsi:type="dcterms:W3CDTF">2026-06-16T07:30:50.357Z</dcterms:created>
  <dcterms:modified xsi:type="dcterms:W3CDTF">2026-06-16T07:30:50.357Z</dcterms:modified>
</cp:coreProperties>
</file>

<file path=docProps/custom.xml><?xml version="1.0" encoding="utf-8"?>
<Properties xmlns="http://schemas.openxmlformats.org/officeDocument/2006/custom-properties" xmlns:vt="http://schemas.openxmlformats.org/officeDocument/2006/docPropsVTypes"/>
</file>