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Arial" w:cs="Arial" w:eastAsia="Arial" w:hAnsi="Arial"/>
          <w:b/>
          <w:bCs/>
          <w:color w:val="0B5563"/>
          <w:sz w:val="60"/>
          <w:szCs w:val="60"/>
        </w:rPr>
        <w:t xml:space="preserve">TOKENOMICS WORKSHOP</w:t>
      </w:r>
    </w:p>
    <w:p>
      <w:pPr>
        <w:spacing w:before="120"/>
      </w:pPr>
      <w:r>
        <w:rPr>
          <w:rFonts w:ascii="Arial" w:cs="Arial" w:eastAsia="Arial" w:hAnsi="Arial"/>
          <w:color w:val="1A1A1A"/>
          <w:sz w:val="38"/>
          <w:szCs w:val="38"/>
        </w:rPr>
        <w:t xml:space="preserve">Participant Workbook</w:t>
      </w:r>
    </w:p>
    <w:p>
      <w:pPr>
        <w:pBdr>
          <w:bottom w:val="single" w:color="13808E" w:sz="12" w:space="8"/>
        </w:pBdr>
        <w:spacing w:before="320"/>
      </w:pPr>
    </w:p>
    <w:p>
      <w:pPr>
        <w:spacing w:before="280"/>
      </w:pPr>
      <w:r>
        <w:rPr>
          <w:rFonts w:ascii="Arial" w:cs="Arial" w:eastAsia="Arial" w:hAnsi="Arial"/>
          <w:i/>
          <w:iCs/>
          <w:color w:val="5A5A5A"/>
          <w:sz w:val="24"/>
          <w:szCs w:val="24"/>
        </w:rPr>
        <w:t xml:space="preserve">Four exercises and two templates you’ll keep. By the end you’ll know where your AI spend hides, where you’re exposed, what one lever to pull first, and the few things worth measuring now.</w:t>
      </w:r>
    </w:p>
    <w:p>
      <w:pPr>
        <w:tabs>
          <w:tab w:val="left" w:pos="4600"/>
        </w:tabs>
        <w:spacing w:before="1500"/>
      </w:pPr>
      <w:r>
        <w:rPr>
          <w:rFonts w:ascii="Arial" w:cs="Arial" w:eastAsia="Arial" w:hAnsi="Arial"/>
          <w:color w:val="5A5A5A"/>
          <w:sz w:val="22"/>
          <w:szCs w:val="22"/>
        </w:rPr>
        <w:t xml:space="preserve">Name: </w:t>
      </w:r>
      <w:r>
        <w:rPr>
          <w:rFonts w:ascii="Arial" w:cs="Arial" w:eastAsia="Arial" w:hAnsi="Arial"/>
        </w:rPr>
        <w:t xml:space="preserve">	</w:t>
      </w:r>
      <w:r>
        <w:rPr>
          <w:rFonts w:ascii="Arial" w:cs="Arial" w:eastAsia="Arial" w:hAnsi="Arial"/>
          <w:color w:val="5A5A5A"/>
          <w:sz w:val="22"/>
          <w:szCs w:val="22"/>
        </w:rPr>
        <w:t xml:space="preserve">Team: </w:t>
      </w:r>
    </w:p>
    <w:p>
      <w:r>
        <w:br w:type="page"/>
      </w:r>
    </w:p>
    <w:p>
      <w:pPr>
        <w:pStyle w:val="Heading1"/>
      </w:pPr>
      <w:r>
        <w:t xml:space="preserve">How to use this workbook</w:t>
      </w:r>
    </w:p>
    <w:p>
      <w:pPr>
        <w:spacing w:after="120"/>
      </w:pPr>
      <w:r>
        <w:rPr>
          <w:rFonts w:ascii="Arial" w:cs="Arial" w:eastAsia="Arial" w:hAnsi="Arial"/>
          <w:color w:val="1A1A1A"/>
          <w:sz w:val="22"/>
          <w:szCs w:val="22"/>
        </w:rPr>
        <w:t xml:space="preserve">Keep this. The slides set context; this workbook is where you do the work and what you take home. Each exercise has a short setup and space to write — estimates are completely fine, and “we don’t know” is a valid, useful answer. The last two sections are templates designed to leave the room with you and go straight into your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8F1F2" w:val="clear"/>
            <w:tcMar>
              <w:top w:type="dxa" w:w="140"/>
              <w:left w:type="dxa" w:w="200"/>
              <w:bottom w:type="dxa" w:w="140"/>
              <w:right w:type="dxa" w:w="200"/>
            </w:tcMar>
          </w:tcPr>
          <w:p>
            <w:pPr>
              <w:spacing w:after="60"/>
            </w:pPr>
            <w:r>
              <w:rPr>
                <w:rFonts w:ascii="Arial" w:cs="Arial" w:eastAsia="Arial" w:hAnsi="Arial"/>
                <w:b/>
                <w:bCs/>
                <w:color w:val="13808E"/>
                <w:sz w:val="21"/>
                <w:szCs w:val="21"/>
              </w:rPr>
              <w:t xml:space="preserve">The one outcome that matters</w:t>
            </w:r>
          </w:p>
          <w:p>
            <w:pPr>
              <w:spacing w:after="40"/>
            </w:pPr>
            <w:r>
              <w:rPr>
                <w:rFonts w:ascii="Arial" w:cs="Arial" w:eastAsia="Arial" w:hAnsi="Arial"/>
                <w:color w:val="1A1A1A"/>
                <w:sz w:val="21"/>
                <w:szCs w:val="21"/>
              </w:rPr>
              <w:t xml:space="preserve">If you leave with a single metric you’ll instrument on a single workload, this workshop paid for itself. Everything else is supporting cast.</w:t>
            </w:r>
          </w:p>
        </w:tc>
      </w:tr>
    </w:tbl>
    <w:p>
      <w:pPr>
        <w:pStyle w:val="Heading1"/>
        <w:pageBreakBefore/>
      </w:pPr>
      <w:r>
        <w:t xml:space="preserve">Exercise 1 — Where does AI spend hide?</w:t>
      </w:r>
    </w:p>
    <w:p>
      <w:pPr>
        <w:spacing w:after="40" w:before="160"/>
      </w:pPr>
      <w:r>
        <w:rPr>
          <w:rFonts w:ascii="Arial" w:cs="Arial" w:eastAsia="Arial" w:hAnsi="Arial"/>
          <w:b/>
          <w:bCs/>
          <w:color w:val="13808E"/>
          <w:sz w:val="19"/>
          <w:szCs w:val="19"/>
        </w:rPr>
        <w:t xml:space="preserve">GOAL</w:t>
      </w:r>
    </w:p>
    <w:p>
      <w:pPr>
        <w:spacing w:after="120"/>
      </w:pPr>
      <w:r>
        <w:rPr>
          <w:rFonts w:ascii="Arial" w:cs="Arial" w:eastAsia="Arial" w:hAnsi="Arial"/>
          <w:color w:val="1A1A1A"/>
          <w:sz w:val="22"/>
          <w:szCs w:val="22"/>
        </w:rPr>
        <w:t xml:space="preserve">Surface the visibility gap. List every place AI spend enters your organization, who owns each bill, and whether anyone is tracking it.</w:t>
      </w:r>
    </w:p>
    <w:p>
      <w:pPr>
        <w:spacing w:after="40" w:before="160"/>
      </w:pPr>
      <w:r>
        <w:rPr>
          <w:rFonts w:ascii="Arial" w:cs="Arial" w:eastAsia="Arial" w:hAnsi="Arial"/>
          <w:b/>
          <w:bCs/>
          <w:color w:val="13808E"/>
          <w:sz w:val="19"/>
          <w:szCs w:val="19"/>
        </w:rPr>
        <w:t xml:space="preserve">PROMPTS</w:t>
      </w:r>
    </w:p>
    <w:p>
      <w:pPr>
        <w:pStyle w:val="ListParagraph"/>
        <w:numPr>
          <w:ilvl w:val="0"/>
          <w:numId w:val="2"/>
        </w:numPr>
        <w:spacing w:after="60"/>
      </w:pPr>
      <w:r>
        <w:rPr>
          <w:rFonts w:ascii="Arial" w:cs="Arial" w:eastAsia="Arial" w:hAnsi="Arial"/>
          <w:color w:val="1A1A1A"/>
          <w:sz w:val="22"/>
          <w:szCs w:val="22"/>
        </w:rPr>
        <w:t xml:space="preserve">Direct API usage (models you call yourself).</w:t>
      </w:r>
    </w:p>
    <w:p>
      <w:pPr>
        <w:pStyle w:val="ListParagraph"/>
        <w:numPr>
          <w:ilvl w:val="0"/>
          <w:numId w:val="2"/>
        </w:numPr>
        <w:spacing w:after="60"/>
      </w:pPr>
      <w:r>
        <w:rPr>
          <w:rFonts w:ascii="Arial" w:cs="Arial" w:eastAsia="Arial" w:hAnsi="Arial"/>
          <w:color w:val="1A1A1A"/>
          <w:sz w:val="22"/>
          <w:szCs w:val="22"/>
        </w:rPr>
        <w:t xml:space="preserve">AI features bundled into SaaS subscriptions you already pay for.</w:t>
      </w:r>
    </w:p>
    <w:p>
      <w:pPr>
        <w:pStyle w:val="ListParagraph"/>
        <w:numPr>
          <w:ilvl w:val="0"/>
          <w:numId w:val="2"/>
        </w:numPr>
        <w:spacing w:after="60"/>
      </w:pPr>
      <w:r>
        <w:rPr>
          <w:rFonts w:ascii="Arial" w:cs="Arial" w:eastAsia="Arial" w:hAnsi="Arial"/>
          <w:color w:val="1A1A1A"/>
          <w:sz w:val="22"/>
          <w:szCs w:val="22"/>
        </w:rPr>
        <w:t xml:space="preserve">Copilots and assistants (coding, writing, support).</w:t>
      </w:r>
    </w:p>
    <w:p>
      <w:pPr>
        <w:pStyle w:val="ListParagraph"/>
        <w:numPr>
          <w:ilvl w:val="0"/>
          <w:numId w:val="2"/>
        </w:numPr>
        <w:spacing w:after="60"/>
      </w:pPr>
      <w:r>
        <w:rPr>
          <w:rFonts w:ascii="Arial" w:cs="Arial" w:eastAsia="Arial" w:hAnsi="Arial"/>
          <w:color w:val="1A1A1A"/>
          <w:sz w:val="22"/>
          <w:szCs w:val="22"/>
        </w:rPr>
        <w:t xml:space="preserve">“Shadow” usage on personal or team cards.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680"/>
        <w:gridCol w:w="2280"/>
      </w:tblGrid>
      <w:tr>
        <w:trPr>
          <w:tblHeader/>
        </w:trPr>
        <w:tc>
          <w:tcPr>
            <w:tcW w:type="dxa" w:w="300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pPr>
              <w:spacing w:after="20"/>
            </w:pPr>
            <w:r>
              <w:rPr>
                <w:rFonts w:ascii="Arial" w:cs="Arial" w:eastAsia="Arial" w:hAnsi="Arial"/>
                <w:b/>
                <w:bCs/>
                <w:color w:val="FFFFFF"/>
                <w:sz w:val="20"/>
                <w:szCs w:val="20"/>
              </w:rPr>
              <w:t xml:space="preserve">Where AI spend enters</w:t>
            </w:r>
          </w:p>
        </w:tc>
        <w:tc>
          <w:tcPr>
            <w:tcW w:type="dxa" w:w="240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pPr>
              <w:spacing w:after="20"/>
            </w:pPr>
            <w:r>
              <w:rPr>
                <w:rFonts w:ascii="Arial" w:cs="Arial" w:eastAsia="Arial" w:hAnsi="Arial"/>
                <w:b/>
                <w:bCs/>
                <w:color w:val="FFFFFF"/>
                <w:sz w:val="20"/>
                <w:szCs w:val="20"/>
              </w:rPr>
              <w:t xml:space="preserve">Who owns the bill</w:t>
            </w:r>
          </w:p>
        </w:tc>
        <w:tc>
          <w:tcPr>
            <w:tcW w:type="dxa" w:w="168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pPr>
              <w:spacing w:after="20"/>
            </w:pPr>
            <w:r>
              <w:rPr>
                <w:rFonts w:ascii="Arial" w:cs="Arial" w:eastAsia="Arial" w:hAnsi="Arial"/>
                <w:b/>
                <w:bCs/>
                <w:color w:val="FFFFFF"/>
                <w:sz w:val="20"/>
                <w:szCs w:val="20"/>
              </w:rPr>
              <w:t xml:space="preserve">Tracked? (Y/N)</w:t>
            </w:r>
          </w:p>
        </w:tc>
        <w:tc>
          <w:tcPr>
            <w:tcW w:type="dxa" w:w="228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pPr>
              <w:spacing w:after="20"/>
            </w:pPr>
            <w:r>
              <w:rPr>
                <w:rFonts w:ascii="Arial" w:cs="Arial" w:eastAsia="Arial" w:hAnsi="Arial"/>
                <w:b/>
                <w:bCs/>
                <w:color w:val="FFFFFF"/>
                <w:sz w:val="20"/>
                <w:szCs w:val="20"/>
              </w:rPr>
              <w:t xml:space="preserve">Rough $/month</w:t>
            </w:r>
          </w:p>
        </w:tc>
      </w:tr>
      <w:tr>
        <w:trPr>
          <w:tblHeader w:val="false"/>
        </w:trPr>
        <w:tc>
          <w:tcPr>
            <w:tcW w:type="dxa" w:w="30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24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168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228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r>
        <w:trPr>
          <w:tblHeader w:val="false"/>
        </w:trPr>
        <w:tc>
          <w:tcPr>
            <w:tcW w:type="dxa" w:w="30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24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168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228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r>
        <w:trPr>
          <w:tblHeader w:val="false"/>
        </w:trPr>
        <w:tc>
          <w:tcPr>
            <w:tcW w:type="dxa" w:w="30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24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168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228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r>
        <w:trPr>
          <w:tblHeader w:val="false"/>
        </w:trPr>
        <w:tc>
          <w:tcPr>
            <w:tcW w:type="dxa" w:w="30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24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168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228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r>
        <w:trPr>
          <w:tblHeader w:val="false"/>
        </w:trPr>
        <w:tc>
          <w:tcPr>
            <w:tcW w:type="dxa" w:w="30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24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168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228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bl>
    <w:p>
      <w:pPr>
        <w:spacing w:after="80"/>
      </w:pPr>
    </w:p>
    <w:p>
      <w:pPr>
        <w:spacing w:after="40" w:before="160"/>
      </w:pPr>
      <w:r>
        <w:rPr>
          <w:rFonts w:ascii="Arial" w:cs="Arial" w:eastAsia="Arial" w:hAnsi="Arial"/>
          <w:b/>
          <w:bCs/>
          <w:color w:val="13808E"/>
          <w:sz w:val="19"/>
          <w:szCs w:val="19"/>
        </w:rPr>
        <w:t xml:space="preserve">DEBRIEF</w:t>
      </w:r>
    </w:p>
    <w:p>
      <w:pPr>
        <w:spacing w:after="120"/>
      </w:pPr>
      <w:r>
        <w:rPr>
          <w:rFonts w:ascii="Arial" w:cs="Arial" w:eastAsia="Arial" w:hAnsi="Arial"/>
          <w:color w:val="1A1A1A"/>
          <w:sz w:val="22"/>
          <w:szCs w:val="22"/>
        </w:rPr>
        <w:t xml:space="preserve">Which row surprised you most, and which single row is the biggest spend you currently can’t see?</w:t>
      </w:r>
    </w:p>
    <w:p>
      <w:pPr>
        <w:pBdr>
          <w:bottom w:val="single" w:color="AEC4C6" w:sz="4" w:space="2"/>
        </w:pBdr>
        <w:spacing w:after="0" w:before="60"/>
      </w:pPr>
      <w:r>
        <w:rPr>
          <w:rFonts w:ascii="Arial" w:cs="Arial" w:eastAsia="Arial" w:hAnsi="Arial"/>
          <w:color w:val="5A5A5A"/>
          <w:sz w:val="20"/>
          <w:szCs w:val="20"/>
        </w:rPr>
        <w:t xml:space="preserve"/>
      </w:r>
    </w:p>
    <w:p>
      <w:pPr>
        <w:pBdr>
          <w:bottom w:val="single" w:color="AEC4C6" w:sz="4" w:space="2"/>
        </w:pBdr>
        <w:spacing w:after="0" w:before="180"/>
      </w:pPr>
      <w:r>
        <w:rPr>
          <w:rFonts w:ascii="Arial" w:cs="Arial" w:eastAsia="Arial" w:hAnsi="Arial"/>
          <w:color w:val="5A5A5A"/>
          <w:sz w:val="20"/>
          <w:szCs w:val="20"/>
        </w:rPr>
        <w:t xml:space="preserve"/>
      </w:r>
    </w:p>
    <w:p>
      <w:pPr>
        <w:pStyle w:val="Heading1"/>
        <w:pageBreakBefore/>
      </w:pPr>
      <w:r>
        <w:t xml:space="preserve">Exercise 2 — Map your exposure</w:t>
      </w:r>
    </w:p>
    <w:p>
      <w:pPr>
        <w:spacing w:after="40" w:before="160"/>
      </w:pPr>
      <w:r>
        <w:rPr>
          <w:rFonts w:ascii="Arial" w:cs="Arial" w:eastAsia="Arial" w:hAnsi="Arial"/>
          <w:b/>
          <w:bCs/>
          <w:color w:val="13808E"/>
          <w:sz w:val="19"/>
          <w:szCs w:val="19"/>
        </w:rPr>
        <w:t xml:space="preserve">GOAL</w:t>
      </w:r>
    </w:p>
    <w:p>
      <w:pPr>
        <w:spacing w:after="120"/>
      </w:pPr>
      <w:r>
        <w:rPr>
          <w:rFonts w:ascii="Arial" w:cs="Arial" w:eastAsia="Arial" w:hAnsi="Arial"/>
          <w:color w:val="1A1A1A"/>
          <w:sz w:val="22"/>
          <w:szCs w:val="22"/>
        </w:rPr>
        <w:t xml:space="preserve">Pick one real or representative AI workload and locate your exposure on the token supply chain: silicon → model → your app → your margin.</w:t>
      </w:r>
    </w:p>
    <w:p>
      <w:pPr>
        <w:spacing w:after="40" w:before="160"/>
      </w:pPr>
      <w:r>
        <w:rPr>
          <w:rFonts w:ascii="Arial" w:cs="Arial" w:eastAsia="Arial" w:hAnsi="Arial"/>
          <w:b/>
          <w:bCs/>
          <w:color w:val="13808E"/>
          <w:sz w:val="19"/>
          <w:szCs w:val="19"/>
        </w:rPr>
        <w:t xml:space="preserve">THE WORKLOAD I’M MAPPING</w:t>
      </w:r>
    </w:p>
    <w:p>
      <w:pPr>
        <w:pBdr>
          <w:bottom w:val="single" w:color="AEC4C6" w:sz="4" w:space="2"/>
        </w:pBdr>
        <w:spacing w:after="0" w:before="60"/>
      </w:pPr>
      <w:r>
        <w:rPr>
          <w:rFonts w:ascii="Arial" w:cs="Arial" w:eastAsia="Arial" w:hAnsi="Arial"/>
          <w:color w:val="5A5A5A"/>
          <w:sz w:val="20"/>
          <w:szCs w:val="20"/>
        </w:rPr>
        <w:t xml:space="preserve"/>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pPr>
              <w:spacing w:after="20"/>
            </w:pPr>
            <w:r>
              <w:rPr>
                <w:rFonts w:ascii="Arial" w:cs="Arial" w:eastAsia="Arial" w:hAnsi="Arial"/>
                <w:b/>
                <w:bCs/>
                <w:color w:val="FFFFFF"/>
                <w:sz w:val="20"/>
                <w:szCs w:val="20"/>
              </w:rPr>
              <w:t xml:space="preserve">Question</w:t>
            </w:r>
          </w:p>
        </w:tc>
        <w:tc>
          <w:tcPr>
            <w:tcW w:type="dxa" w:w="696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pPr>
              <w:spacing w:after="20"/>
            </w:pPr>
            <w:r>
              <w:rPr>
                <w:rFonts w:ascii="Arial" w:cs="Arial" w:eastAsia="Arial" w:hAnsi="Arial"/>
                <w:b/>
                <w:bCs/>
                <w:color w:val="FFFFFF"/>
                <w:sz w:val="20"/>
                <w:szCs w:val="20"/>
              </w:rPr>
              <w:t xml:space="preserve">Your answer (estimates are fine)</w:t>
            </w:r>
          </w:p>
        </w:tc>
      </w:tr>
      <w:tr>
        <w:trPr>
          <w:tblHeader w:val="false"/>
        </w:trPr>
        <w:tc>
          <w:tcPr>
            <w:tcW w:type="dxa" w:w="24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Input / output mix</w:t>
            </w:r>
          </w:p>
        </w:tc>
        <w:tc>
          <w:tcPr>
            <w:tcW w:type="dxa" w:w="696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i/>
                <w:iCs/>
                <w:color w:val="5A5A5A"/>
                <w:sz w:val="20"/>
                <w:szCs w:val="20"/>
              </w:rPr>
              <w:t xml:space="preserve">Roughly long prompts + short answers, or short prompts + long answers?</w:t>
            </w:r>
          </w:p>
        </w:tc>
      </w:tr>
      <w:tr>
        <w:trPr>
          <w:tblHeader w:val="false"/>
        </w:trPr>
        <w:tc>
          <w:tcPr>
            <w:tcW w:type="dxa" w:w="24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Who pays the bill?</w:t>
            </w:r>
          </w:p>
        </w:tc>
        <w:tc>
          <w:tcPr>
            <w:tcW w:type="dxa" w:w="696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r>
        <w:trPr>
          <w:tblHeader w:val="false"/>
        </w:trPr>
        <w:tc>
          <w:tcPr>
            <w:tcW w:type="dxa" w:w="24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How customers are charged vs how you’re charged</w:t>
            </w:r>
          </w:p>
        </w:tc>
        <w:tc>
          <w:tcPr>
            <w:tcW w:type="dxa" w:w="696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i/>
                <w:iCs/>
                <w:color w:val="5A5A5A"/>
                <w:sz w:val="20"/>
                <w:szCs w:val="20"/>
              </w:rPr>
              <w:t xml:space="preserve">Flat subscription? Per use? And how are you billed by the provider?</w:t>
            </w:r>
          </w:p>
        </w:tc>
      </w:tr>
      <w:tr>
        <w:trPr>
          <w:tblHeader w:val="false"/>
        </w:trPr>
        <w:tc>
          <w:tcPr>
            <w:tcW w:type="dxa" w:w="24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Where a 2x price change hurts most</w:t>
            </w:r>
          </w:p>
        </w:tc>
        <w:tc>
          <w:tcPr>
            <w:tcW w:type="dxa" w:w="696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r>
        <w:trPr>
          <w:tblHeader w:val="false"/>
        </w:trPr>
        <w:tc>
          <w:tcPr>
            <w:tcW w:type="dxa" w:w="24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Retry / error rate (guess)</w:t>
            </w:r>
          </w:p>
        </w:tc>
        <w:tc>
          <w:tcPr>
            <w:tcW w:type="dxa" w:w="696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8F1F2" w:val="clear"/>
            <w:tcMar>
              <w:top w:type="dxa" w:w="140"/>
              <w:left w:type="dxa" w:w="200"/>
              <w:bottom w:type="dxa" w:w="140"/>
              <w:right w:type="dxa" w:w="200"/>
            </w:tcMar>
          </w:tcPr>
          <w:p>
            <w:pPr>
              <w:spacing w:after="60"/>
            </w:pPr>
            <w:r>
              <w:rPr>
                <w:rFonts w:ascii="Arial" w:cs="Arial" w:eastAsia="Arial" w:hAnsi="Arial"/>
                <w:b/>
                <w:bCs/>
                <w:color w:val="13808E"/>
                <w:sz w:val="21"/>
                <w:szCs w:val="21"/>
              </w:rPr>
              <w:t xml:space="preserve">Remember</w:t>
            </w:r>
          </w:p>
          <w:p>
            <w:pPr>
              <w:spacing w:after="40"/>
            </w:pPr>
            <w:r>
              <w:rPr>
                <w:rFonts w:ascii="Arial" w:cs="Arial" w:eastAsia="Arial" w:hAnsi="Arial"/>
                <w:color w:val="1A1A1A"/>
                <w:sz w:val="21"/>
                <w:szCs w:val="21"/>
              </w:rPr>
              <w:t xml:space="preserve">The cheapest model per token is not the cheapest model per task. Retries, output length, and context overhead decide your real cost per unit of work.</w:t>
            </w:r>
          </w:p>
        </w:tc>
      </w:tr>
    </w:tbl>
    <w:p>
      <w:pPr>
        <w:pStyle w:val="Heading1"/>
        <w:pageBreakBefore/>
      </w:pPr>
      <w:r>
        <w:t xml:space="preserve">Exercise 3 — Estimate the savings</w:t>
      </w:r>
    </w:p>
    <w:p>
      <w:pPr>
        <w:spacing w:after="40" w:before="160"/>
      </w:pPr>
      <w:r>
        <w:rPr>
          <w:rFonts w:ascii="Arial" w:cs="Arial" w:eastAsia="Arial" w:hAnsi="Arial"/>
          <w:b/>
          <w:bCs/>
          <w:color w:val="13808E"/>
          <w:sz w:val="19"/>
          <w:szCs w:val="19"/>
        </w:rPr>
        <w:t xml:space="preserve">GOAL</w:t>
      </w:r>
    </w:p>
    <w:p>
      <w:pPr>
        <w:spacing w:after="120"/>
      </w:pPr>
      <w:r>
        <w:rPr>
          <w:rFonts w:ascii="Arial" w:cs="Arial" w:eastAsia="Arial" w:hAnsi="Arial"/>
          <w:color w:val="1A1A1A"/>
          <w:sz w:val="22"/>
          <w:szCs w:val="22"/>
        </w:rPr>
        <w:t xml:space="preserve">Feel the leverage of the three levers — cache, route, compress — on a realistic workload. Work the example, then run your own.</w:t>
      </w:r>
    </w:p>
    <w:p>
      <w:pPr>
        <w:pStyle w:val="Heading2"/>
      </w:pPr>
      <w:r>
        <w:t xml:space="preserve">Worked example (illustrative)</w:t>
      </w:r>
    </w:p>
    <w:p>
      <w:pPr>
        <w:spacing w:after="80"/>
      </w:pPr>
      <w:r>
        <w:rPr>
          <w:rFonts w:ascii="Arial" w:cs="Arial" w:eastAsia="Arial" w:hAnsi="Arial"/>
          <w:color w:val="1A1A1A"/>
          <w:sz w:val="22"/>
          <w:szCs w:val="22"/>
        </w:rPr>
        <w:t xml:space="preserve">A support assistant: 1,000,000 requests a month, about 1,500 input tokens and 400 output tokens each, on a mid-tier model priced near $3 per million input and $15 per million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100"/>
        <w:gridCol w:w="2100"/>
      </w:tblGrid>
      <w:tr>
        <w:trPr>
          <w:tblHeader/>
        </w:trPr>
        <w:tc>
          <w:tcPr>
            <w:tcW w:type="dxa" w:w="516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pPr>
              <w:spacing w:after="20"/>
            </w:pPr>
            <w:r>
              <w:rPr>
                <w:rFonts w:ascii="Arial" w:cs="Arial" w:eastAsia="Arial" w:hAnsi="Arial"/>
                <w:b/>
                <w:bCs/>
                <w:color w:val="FFFFFF"/>
                <w:sz w:val="20"/>
                <w:szCs w:val="20"/>
              </w:rPr>
              <w:t xml:space="preserve">Step</w:t>
            </w:r>
          </w:p>
        </w:tc>
        <w:tc>
          <w:tcPr>
            <w:tcW w:type="dxa" w:w="210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pPr>
              <w:spacing w:after="20"/>
            </w:pPr>
            <w:r>
              <w:rPr>
                <w:rFonts w:ascii="Arial" w:cs="Arial" w:eastAsia="Arial" w:hAnsi="Arial"/>
                <w:b/>
                <w:bCs/>
                <w:color w:val="FFFFFF"/>
                <w:sz w:val="20"/>
                <w:szCs w:val="20"/>
              </w:rPr>
              <w:t xml:space="preserve">Effect</w:t>
            </w:r>
          </w:p>
        </w:tc>
        <w:tc>
          <w:tcPr>
            <w:tcW w:type="dxa" w:w="210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pPr>
              <w:spacing w:after="20"/>
            </w:pPr>
            <w:r>
              <w:rPr>
                <w:rFonts w:ascii="Arial" w:cs="Arial" w:eastAsia="Arial" w:hAnsi="Arial"/>
                <w:b/>
                <w:bCs/>
                <w:color w:val="FFFFFF"/>
                <w:sz w:val="20"/>
                <w:szCs w:val="20"/>
              </w:rPr>
              <w:t xml:space="preserve">Running cost / month</w:t>
            </w:r>
          </w:p>
        </w:tc>
      </w:tr>
      <w:tr>
        <w:trPr>
          <w:tblHeader w:val="false"/>
        </w:trPr>
        <w:tc>
          <w:tcPr>
            <w:tcW w:type="dxa" w:w="516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Baseline: 1,500 M input × $3 + 400 M output × $15</w:t>
            </w:r>
          </w:p>
        </w:tc>
        <w:tc>
          <w:tcPr>
            <w:tcW w:type="dxa" w:w="21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w:t>
            </w:r>
          </w:p>
        </w:tc>
        <w:tc>
          <w:tcPr>
            <w:tcW w:type="dxa" w:w="21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~$10,500</w:t>
            </w:r>
          </w:p>
        </w:tc>
      </w:tr>
      <w:tr>
        <w:trPr>
          <w:tblHeader w:val="false"/>
        </w:trPr>
        <w:tc>
          <w:tcPr>
            <w:tcW w:type="dxa" w:w="516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Apply caching (stable prefix, good hit rate cuts input cost)</w:t>
            </w:r>
          </w:p>
        </w:tc>
        <w:tc>
          <w:tcPr>
            <w:tcW w:type="dxa" w:w="21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−~$2,700</w:t>
            </w:r>
          </w:p>
        </w:tc>
        <w:tc>
          <w:tcPr>
            <w:tcW w:type="dxa" w:w="21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~$7,800</w:t>
            </w:r>
          </w:p>
        </w:tc>
      </w:tr>
      <w:tr>
        <w:trPr>
          <w:tblHeader w:val="false"/>
        </w:trPr>
        <w:tc>
          <w:tcPr>
            <w:tcW w:type="dxa" w:w="516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Apply routing (cheap model handles ~80% of traffic)</w:t>
            </w:r>
          </w:p>
        </w:tc>
        <w:tc>
          <w:tcPr>
            <w:tcW w:type="dxa" w:w="21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−~$3,100</w:t>
            </w:r>
          </w:p>
        </w:tc>
        <w:tc>
          <w:tcPr>
            <w:tcW w:type="dxa" w:w="21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~$4,700</w:t>
            </w:r>
          </w:p>
        </w:tc>
      </w:tr>
      <w:tr>
        <w:trPr>
          <w:tblHeader w:val="false"/>
        </w:trPr>
        <w:tc>
          <w:tcPr>
            <w:tcW w:type="dxa" w:w="516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Apply output cap (trim ~20% of generated tokens)</w:t>
            </w:r>
          </w:p>
        </w:tc>
        <w:tc>
          <w:tcPr>
            <w:tcW w:type="dxa" w:w="21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−~$900</w:t>
            </w:r>
          </w:p>
        </w:tc>
        <w:tc>
          <w:tcPr>
            <w:tcW w:type="dxa" w:w="21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~$3,800</w:t>
            </w:r>
          </w:p>
        </w:tc>
      </w:tr>
      <w:tr>
        <w:trPr>
          <w:tblHeader w:val="false"/>
        </w:trPr>
        <w:tc>
          <w:tcPr>
            <w:tcW w:type="dxa" w:w="516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b/>
                <w:bCs/>
                <w:color w:val="1A1A1A"/>
                <w:sz w:val="20"/>
                <w:szCs w:val="20"/>
              </w:rPr>
              <w:t xml:space="preserve">Net effect</w:t>
            </w:r>
          </w:p>
        </w:tc>
        <w:tc>
          <w:tcPr>
            <w:tcW w:type="dxa" w:w="21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b/>
                <w:bCs/>
                <w:color w:val="1A1A1A"/>
                <w:sz w:val="20"/>
                <w:szCs w:val="20"/>
              </w:rPr>
              <w:t xml:space="preserve">~64% lower</w:t>
            </w:r>
          </w:p>
        </w:tc>
        <w:tc>
          <w:tcPr>
            <w:tcW w:type="dxa" w:w="21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b/>
                <w:bCs/>
                <w:color w:val="1A1A1A"/>
                <w:sz w:val="20"/>
                <w:szCs w:val="20"/>
              </w:rPr>
              <w:t xml:space="preserve">~$3,800</w:t>
            </w:r>
          </w:p>
        </w:tc>
      </w:tr>
    </w:tbl>
    <w:p>
      <w:pPr>
        <w:spacing w:after="120"/>
      </w:pPr>
      <w:r>
        <w:rPr>
          <w:rFonts w:ascii="Arial" w:cs="Arial" w:eastAsia="Arial" w:hAnsi="Arial"/>
          <w:i/>
          <w:iCs/>
          <w:color w:val="5A5A5A"/>
          <w:sz w:val="22"/>
          <w:szCs w:val="22"/>
        </w:rPr>
        <w:t xml:space="preserve">Savings don’t add cleanly — the levers overlap — so treat 60–80% as a realistic combined range, not a guarantee.</w:t>
      </w:r>
    </w:p>
    <w:p>
      <w:pPr>
        <w:pStyle w:val="Heading2"/>
      </w:pPr>
      <w:r>
        <w:t xml:space="preserve">Now run your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pPr>
              <w:spacing w:after="20"/>
            </w:pPr>
            <w:r>
              <w:rPr>
                <w:rFonts w:ascii="Arial" w:cs="Arial" w:eastAsia="Arial" w:hAnsi="Arial"/>
                <w:b/>
                <w:bCs/>
                <w:color w:val="FFFFFF"/>
                <w:sz w:val="20"/>
                <w:szCs w:val="20"/>
              </w:rPr>
              <w:t xml:space="preserve">Input</w:t>
            </w:r>
          </w:p>
        </w:tc>
        <w:tc>
          <w:tcPr>
            <w:tcW w:type="dxa" w:w="468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pPr>
              <w:spacing w:after="20"/>
            </w:pPr>
            <w:r>
              <w:rPr>
                <w:rFonts w:ascii="Arial" w:cs="Arial" w:eastAsia="Arial" w:hAnsi="Arial"/>
                <w:b/>
                <w:bCs/>
                <w:color w:val="FFFFFF"/>
                <w:sz w:val="20"/>
                <w:szCs w:val="20"/>
              </w:rPr>
              <w:t xml:space="preserve">Your number</w:t>
            </w:r>
          </w:p>
        </w:tc>
      </w:tr>
      <w:tr>
        <w:trPr>
          <w:tblHeader w:val="false"/>
        </w:trPr>
        <w:tc>
          <w:tcPr>
            <w:tcW w:type="dxa" w:w="468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Requests / month</w:t>
            </w:r>
          </w:p>
        </w:tc>
        <w:tc>
          <w:tcPr>
            <w:tcW w:type="dxa" w:w="468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r>
        <w:trPr>
          <w:tblHeader w:val="false"/>
        </w:trPr>
        <w:tc>
          <w:tcPr>
            <w:tcW w:type="dxa" w:w="468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Avg input tokens / request</w:t>
            </w:r>
          </w:p>
        </w:tc>
        <w:tc>
          <w:tcPr>
            <w:tcW w:type="dxa" w:w="468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r>
        <w:trPr>
          <w:tblHeader w:val="false"/>
        </w:trPr>
        <w:tc>
          <w:tcPr>
            <w:tcW w:type="dxa" w:w="468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Avg output tokens / request</w:t>
            </w:r>
          </w:p>
        </w:tc>
        <w:tc>
          <w:tcPr>
            <w:tcW w:type="dxa" w:w="468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r>
        <w:trPr>
          <w:tblHeader w:val="false"/>
        </w:trPr>
        <w:tc>
          <w:tcPr>
            <w:tcW w:type="dxa" w:w="468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Current model price (input / output per M)</w:t>
            </w:r>
          </w:p>
        </w:tc>
        <w:tc>
          <w:tcPr>
            <w:tcW w:type="dxa" w:w="468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r>
        <w:trPr>
          <w:tblHeader w:val="false"/>
        </w:trPr>
        <w:tc>
          <w:tcPr>
            <w:tcW w:type="dxa" w:w="468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b/>
                <w:bCs/>
                <w:color w:val="1A1A1A"/>
                <w:sz w:val="20"/>
                <w:szCs w:val="20"/>
              </w:rPr>
              <w:t xml:space="preserve">Baseline monthly cost</w:t>
            </w:r>
          </w:p>
        </w:tc>
        <w:tc>
          <w:tcPr>
            <w:tcW w:type="dxa" w:w="468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r>
        <w:trPr>
          <w:tblHeader w:val="false"/>
        </w:trPr>
        <w:tc>
          <w:tcPr>
            <w:tcW w:type="dxa" w:w="468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After caching</w:t>
            </w:r>
          </w:p>
        </w:tc>
        <w:tc>
          <w:tcPr>
            <w:tcW w:type="dxa" w:w="468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r>
        <w:trPr>
          <w:tblHeader w:val="false"/>
        </w:trPr>
        <w:tc>
          <w:tcPr>
            <w:tcW w:type="dxa" w:w="468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After routing</w:t>
            </w:r>
          </w:p>
        </w:tc>
        <w:tc>
          <w:tcPr>
            <w:tcW w:type="dxa" w:w="468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r>
        <w:trPr>
          <w:tblHeader w:val="false"/>
        </w:trPr>
        <w:tc>
          <w:tcPr>
            <w:tcW w:type="dxa" w:w="468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After compression / output cap</w:t>
            </w:r>
          </w:p>
        </w:tc>
        <w:tc>
          <w:tcPr>
            <w:tcW w:type="dxa" w:w="468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r>
        <w:trPr>
          <w:tblHeader w:val="false"/>
        </w:trPr>
        <w:tc>
          <w:tcPr>
            <w:tcW w:type="dxa" w:w="468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b/>
                <w:bCs/>
                <w:color w:val="1A1A1A"/>
                <w:sz w:val="20"/>
                <w:szCs w:val="20"/>
              </w:rPr>
              <w:t xml:space="preserve">Estimated new cost</w:t>
            </w:r>
          </w:p>
        </w:tc>
        <w:tc>
          <w:tcPr>
            <w:tcW w:type="dxa" w:w="468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bl>
    <w:p>
      <w:pPr>
        <w:pStyle w:val="Heading1"/>
        <w:pageBreakBefore/>
      </w:pPr>
      <w:r>
        <w:t xml:space="preserve">Exercise 4 — Your starter kit &amp; vendor questions</w:t>
      </w:r>
    </w:p>
    <w:p>
      <w:pPr>
        <w:spacing w:after="40" w:before="160"/>
      </w:pPr>
      <w:r>
        <w:rPr>
          <w:rFonts w:ascii="Arial" w:cs="Arial" w:eastAsia="Arial" w:hAnsi="Arial"/>
          <w:b/>
          <w:bCs/>
          <w:color w:val="13808E"/>
          <w:sz w:val="19"/>
          <w:szCs w:val="19"/>
        </w:rPr>
        <w:t xml:space="preserve">PART A — PICK YOUR FIRST THREE METRICS</w:t>
      </w:r>
    </w:p>
    <w:p>
      <w:pPr>
        <w:spacing w:after="120"/>
      </w:pPr>
      <w:r>
        <w:rPr>
          <w:rFonts w:ascii="Arial" w:cs="Arial" w:eastAsia="Arial" w:hAnsi="Arial"/>
          <w:color w:val="1A1A1A"/>
          <w:sz w:val="22"/>
          <w:szCs w:val="22"/>
        </w:rPr>
        <w:t xml:space="preserve">From the starter kit (next section), choose the three you’ll instrument first, and the one workload you’ll start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pPr>
              <w:spacing w:after="20"/>
            </w:pPr>
            <w:r>
              <w:rPr>
                <w:rFonts w:ascii="Arial" w:cs="Arial" w:eastAsia="Arial" w:hAnsi="Arial"/>
                <w:b/>
                <w:bCs/>
                <w:color w:val="FFFFFF"/>
                <w:sz w:val="20"/>
                <w:szCs w:val="20"/>
              </w:rPr>
              <w:t xml:space="preserve">Metric I’ll track first</w:t>
            </w:r>
          </w:p>
        </w:tc>
        <w:tc>
          <w:tcPr>
            <w:tcW w:type="dxa" w:w="468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pPr>
              <w:spacing w:after="20"/>
            </w:pPr>
            <w:r>
              <w:rPr>
                <w:rFonts w:ascii="Arial" w:cs="Arial" w:eastAsia="Arial" w:hAnsi="Arial"/>
                <w:b/>
                <w:bCs/>
                <w:color w:val="FFFFFF"/>
                <w:sz w:val="20"/>
                <w:szCs w:val="20"/>
              </w:rPr>
              <w:t xml:space="preserve">On which workload</w:t>
            </w:r>
          </w:p>
        </w:tc>
      </w:tr>
      <w:tr>
        <w:trPr>
          <w:tblHeader w:val="false"/>
        </w:trPr>
        <w:tc>
          <w:tcPr>
            <w:tcW w:type="dxa" w:w="468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1. </w:t>
            </w:r>
          </w:p>
        </w:tc>
        <w:tc>
          <w:tcPr>
            <w:tcW w:type="dxa" w:w="468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r>
        <w:trPr>
          <w:tblHeader w:val="false"/>
        </w:trPr>
        <w:tc>
          <w:tcPr>
            <w:tcW w:type="dxa" w:w="468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2. </w:t>
            </w:r>
          </w:p>
        </w:tc>
        <w:tc>
          <w:tcPr>
            <w:tcW w:type="dxa" w:w="468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r>
        <w:trPr>
          <w:tblHeader w:val="false"/>
        </w:trPr>
        <w:tc>
          <w:tcPr>
            <w:tcW w:type="dxa" w:w="468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3. </w:t>
            </w:r>
          </w:p>
        </w:tc>
        <w:tc>
          <w:tcPr>
            <w:tcW w:type="dxa" w:w="468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bl>
    <w:p>
      <w:pPr>
        <w:spacing w:after="80"/>
      </w:pPr>
    </w:p>
    <w:p>
      <w:pPr>
        <w:spacing w:after="40" w:before="160"/>
      </w:pPr>
      <w:r>
        <w:rPr>
          <w:rFonts w:ascii="Arial" w:cs="Arial" w:eastAsia="Arial" w:hAnsi="Arial"/>
          <w:b/>
          <w:bCs/>
          <w:color w:val="13808E"/>
          <w:sz w:val="19"/>
          <w:szCs w:val="19"/>
        </w:rPr>
        <w:t xml:space="preserve">PART B — DRAFT YOUR TOP FIVE VENDOR QUESTIONS</w:t>
      </w:r>
    </w:p>
    <w:p>
      <w:pPr>
        <w:spacing w:after="120"/>
      </w:pPr>
      <w:r>
        <w:rPr>
          <w:rFonts w:ascii="Arial" w:cs="Arial" w:eastAsia="Arial" w:hAnsi="Arial"/>
          <w:color w:val="1A1A1A"/>
          <w:sz w:val="22"/>
          <w:szCs w:val="22"/>
        </w:rPr>
        <w:t xml:space="preserve">For a real contract you hold, write the five questions you most want answered (use the Vendor Pricing Playbook for prompts).</w:t>
      </w:r>
    </w:p>
    <w:p>
      <w:pPr>
        <w:pBdr>
          <w:bottom w:val="single" w:color="AEC4C6" w:sz="4" w:space="2"/>
        </w:pBdr>
        <w:spacing w:after="0" w:before="60"/>
      </w:pPr>
      <w:r>
        <w:rPr>
          <w:rFonts w:ascii="Arial" w:cs="Arial" w:eastAsia="Arial" w:hAnsi="Arial"/>
          <w:color w:val="5A5A5A"/>
          <w:sz w:val="20"/>
          <w:szCs w:val="20"/>
        </w:rPr>
        <w:t xml:space="preserve"/>
      </w:r>
    </w:p>
    <w:p>
      <w:pPr>
        <w:pBdr>
          <w:bottom w:val="single" w:color="AEC4C6" w:sz="4" w:space="2"/>
        </w:pBdr>
        <w:spacing w:after="0" w:before="180"/>
      </w:pPr>
      <w:r>
        <w:rPr>
          <w:rFonts w:ascii="Arial" w:cs="Arial" w:eastAsia="Arial" w:hAnsi="Arial"/>
          <w:color w:val="5A5A5A"/>
          <w:sz w:val="20"/>
          <w:szCs w:val="20"/>
        </w:rPr>
        <w:t xml:space="preserve"/>
      </w:r>
    </w:p>
    <w:p>
      <w:pPr>
        <w:pBdr>
          <w:bottom w:val="single" w:color="AEC4C6" w:sz="4" w:space="2"/>
        </w:pBdr>
        <w:spacing w:after="0" w:before="180"/>
      </w:pPr>
      <w:r>
        <w:rPr>
          <w:rFonts w:ascii="Arial" w:cs="Arial" w:eastAsia="Arial" w:hAnsi="Arial"/>
          <w:color w:val="5A5A5A"/>
          <w:sz w:val="20"/>
          <w:szCs w:val="20"/>
        </w:rPr>
        <w:t xml:space="preserve"/>
      </w:r>
    </w:p>
    <w:p>
      <w:pPr>
        <w:pBdr>
          <w:bottom w:val="single" w:color="AEC4C6" w:sz="4" w:space="2"/>
        </w:pBdr>
        <w:spacing w:after="0" w:before="180"/>
      </w:pPr>
      <w:r>
        <w:rPr>
          <w:rFonts w:ascii="Arial" w:cs="Arial" w:eastAsia="Arial" w:hAnsi="Arial"/>
          <w:color w:val="5A5A5A"/>
          <w:sz w:val="20"/>
          <w:szCs w:val="20"/>
        </w:rPr>
        <w:t xml:space="preserve"/>
      </w:r>
    </w:p>
    <w:p>
      <w:pPr>
        <w:pBdr>
          <w:bottom w:val="single" w:color="AEC4C6" w:sz="4" w:space="2"/>
        </w:pBdr>
        <w:spacing w:after="0" w:before="180"/>
      </w:pPr>
      <w:r>
        <w:rPr>
          <w:rFonts w:ascii="Arial" w:cs="Arial" w:eastAsia="Arial" w:hAnsi="Arial"/>
          <w:color w:val="5A5A5A"/>
          <w:sz w:val="20"/>
          <w:szCs w:val="20"/>
        </w:rPr>
        <w:t xml:space="preserve"/>
      </w:r>
    </w:p>
    <w:p>
      <w:pPr>
        <w:pStyle w:val="Heading1"/>
        <w:pageBreakBefore/>
      </w:pPr>
      <w:r>
        <w:t xml:space="preserve">Template A — Measurement Starter Kit</w:t>
      </w:r>
    </w:p>
    <w:p>
      <w:pPr>
        <w:spacing w:after="120"/>
      </w:pPr>
      <w:r>
        <w:rPr>
          <w:rFonts w:ascii="Arial" w:cs="Arial" w:eastAsia="Arial" w:hAnsi="Arial"/>
          <w:color w:val="1A1A1A"/>
          <w:sz w:val="22"/>
          <w:szCs w:val="22"/>
        </w:rPr>
        <w:t xml:space="preserve">Standards for AI cost metrics don’t exist yet — measure anyway. Fill in current values where you can; blanks are findings, not failures. Start with cost per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000"/>
        <w:gridCol w:w="1700"/>
        <w:gridCol w:w="1500"/>
        <w:gridCol w:w="1400"/>
      </w:tblGrid>
      <w:tr>
        <w:trPr>
          <w:tblHeader/>
        </w:trPr>
        <w:tc>
          <w:tcPr>
            <w:tcW w:type="dxa" w:w="276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pPr>
              <w:spacing w:after="20"/>
            </w:pPr>
            <w:r>
              <w:rPr>
                <w:rFonts w:ascii="Arial" w:cs="Arial" w:eastAsia="Arial" w:hAnsi="Arial"/>
                <w:b/>
                <w:bCs/>
                <w:color w:val="FFFFFF"/>
                <w:sz w:val="20"/>
                <w:szCs w:val="20"/>
              </w:rPr>
              <w:t xml:space="preserve">Metric</w:t>
            </w:r>
          </w:p>
        </w:tc>
        <w:tc>
          <w:tcPr>
            <w:tcW w:type="dxa" w:w="200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pPr>
              <w:spacing w:after="20"/>
            </w:pPr>
            <w:r>
              <w:rPr>
                <w:rFonts w:ascii="Arial" w:cs="Arial" w:eastAsia="Arial" w:hAnsi="Arial"/>
                <w:b/>
                <w:bCs/>
                <w:color w:val="FFFFFF"/>
                <w:sz w:val="20"/>
                <w:szCs w:val="20"/>
              </w:rPr>
              <w:t xml:space="preserve">Why it matters</w:t>
            </w:r>
          </w:p>
        </w:tc>
        <w:tc>
          <w:tcPr>
            <w:tcW w:type="dxa" w:w="170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pPr>
              <w:spacing w:after="20"/>
            </w:pPr>
            <w:r>
              <w:rPr>
                <w:rFonts w:ascii="Arial" w:cs="Arial" w:eastAsia="Arial" w:hAnsi="Arial"/>
                <w:b/>
                <w:bCs/>
                <w:color w:val="FFFFFF"/>
                <w:sz w:val="20"/>
                <w:szCs w:val="20"/>
              </w:rPr>
              <w:t xml:space="preserve">Current value</w:t>
            </w:r>
          </w:p>
        </w:tc>
        <w:tc>
          <w:tcPr>
            <w:tcW w:type="dxa" w:w="150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pPr>
              <w:spacing w:after="20"/>
            </w:pPr>
            <w:r>
              <w:rPr>
                <w:rFonts w:ascii="Arial" w:cs="Arial" w:eastAsia="Arial" w:hAnsi="Arial"/>
                <w:b/>
                <w:bCs/>
                <w:color w:val="FFFFFF"/>
                <w:sz w:val="20"/>
                <w:szCs w:val="20"/>
              </w:rPr>
              <w:t xml:space="preserve">Target</w:t>
            </w:r>
          </w:p>
        </w:tc>
        <w:tc>
          <w:tcPr>
            <w:tcW w:type="dxa" w:w="140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pPr>
              <w:spacing w:after="20"/>
            </w:pPr>
            <w:r>
              <w:rPr>
                <w:rFonts w:ascii="Arial" w:cs="Arial" w:eastAsia="Arial" w:hAnsi="Arial"/>
                <w:b/>
                <w:bCs/>
                <w:color w:val="FFFFFF"/>
                <w:sz w:val="20"/>
                <w:szCs w:val="20"/>
              </w:rPr>
              <w:t xml:space="preserve">Owner</w:t>
            </w:r>
          </w:p>
        </w:tc>
      </w:tr>
      <w:tr>
        <w:trPr>
          <w:tblHeader w:val="false"/>
        </w:trPr>
        <w:tc>
          <w:tcPr>
            <w:tcW w:type="dxa" w:w="276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Cost per transaction</w:t>
            </w:r>
          </w:p>
        </w:tc>
        <w:tc>
          <w:tcPr>
            <w:tcW w:type="dxa" w:w="20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18"/>
                <w:szCs w:val="18"/>
              </w:rPr>
              <w:t xml:space="preserve">The biggest gap — most don’t have it</w:t>
            </w:r>
          </w:p>
        </w:tc>
        <w:tc>
          <w:tcPr>
            <w:tcW w:type="dxa" w:w="17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15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14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r>
        <w:trPr>
          <w:tblHeader w:val="false"/>
        </w:trPr>
        <w:tc>
          <w:tcPr>
            <w:tcW w:type="dxa" w:w="276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Cost-to-serve per customer / feature</w:t>
            </w:r>
          </w:p>
        </w:tc>
        <w:tc>
          <w:tcPr>
            <w:tcW w:type="dxa" w:w="20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18"/>
                <w:szCs w:val="18"/>
              </w:rPr>
              <w:t xml:space="preserve">Ties spend to margin</w:t>
            </w:r>
          </w:p>
        </w:tc>
        <w:tc>
          <w:tcPr>
            <w:tcW w:type="dxa" w:w="17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15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14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r>
        <w:trPr>
          <w:tblHeader w:val="false"/>
        </w:trPr>
        <w:tc>
          <w:tcPr>
            <w:tcW w:type="dxa" w:w="276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Input / output token ratio</w:t>
            </w:r>
          </w:p>
        </w:tc>
        <w:tc>
          <w:tcPr>
            <w:tcW w:type="dxa" w:w="20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18"/>
                <w:szCs w:val="18"/>
              </w:rPr>
              <w:t xml:space="preserve">Efficiency signal</w:t>
            </w:r>
          </w:p>
        </w:tc>
        <w:tc>
          <w:tcPr>
            <w:tcW w:type="dxa" w:w="17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15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14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r>
        <w:trPr>
          <w:tblHeader w:val="false"/>
        </w:trPr>
        <w:tc>
          <w:tcPr>
            <w:tcW w:type="dxa" w:w="276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Cache hit rate</w:t>
            </w:r>
          </w:p>
        </w:tc>
        <w:tc>
          <w:tcPr>
            <w:tcW w:type="dxa" w:w="20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18"/>
                <w:szCs w:val="18"/>
              </w:rPr>
              <w:t xml:space="preserve">Is the cheapest lever working?</w:t>
            </w:r>
          </w:p>
        </w:tc>
        <w:tc>
          <w:tcPr>
            <w:tcW w:type="dxa" w:w="17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15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14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r>
        <w:trPr>
          <w:tblHeader w:val="false"/>
        </w:trPr>
        <w:tc>
          <w:tcPr>
            <w:tcW w:type="dxa" w:w="276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Model mix / routing split</w:t>
            </w:r>
          </w:p>
        </w:tc>
        <w:tc>
          <w:tcPr>
            <w:tcW w:type="dxa" w:w="20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18"/>
                <w:szCs w:val="18"/>
              </w:rPr>
              <w:t xml:space="preserve">Over-using frontier models?</w:t>
            </w:r>
          </w:p>
        </w:tc>
        <w:tc>
          <w:tcPr>
            <w:tcW w:type="dxa" w:w="17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15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14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r>
        <w:trPr>
          <w:tblHeader w:val="false"/>
        </w:trPr>
        <w:tc>
          <w:tcPr>
            <w:tcW w:type="dxa" w:w="276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Retry / error rate</w:t>
            </w:r>
          </w:p>
        </w:tc>
        <w:tc>
          <w:tcPr>
            <w:tcW w:type="dxa" w:w="20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18"/>
                <w:szCs w:val="18"/>
              </w:rPr>
              <w:t xml:space="preserve">Hidden re-billing tax</w:t>
            </w:r>
          </w:p>
        </w:tc>
        <w:tc>
          <w:tcPr>
            <w:tcW w:type="dxa" w:w="17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15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14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r>
        <w:trPr>
          <w:tblHeader w:val="false"/>
        </w:trPr>
        <w:tc>
          <w:tcPr>
            <w:tcW w:type="dxa" w:w="276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Spend by team / product / env</w:t>
            </w:r>
          </w:p>
        </w:tc>
        <w:tc>
          <w:tcPr>
            <w:tcW w:type="dxa" w:w="20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18"/>
                <w:szCs w:val="18"/>
              </w:rPr>
              <w:t xml:space="preserve">Allocation → showback</w:t>
            </w:r>
          </w:p>
        </w:tc>
        <w:tc>
          <w:tcPr>
            <w:tcW w:type="dxa" w:w="17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15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c>
          <w:tcPr>
            <w:tcW w:type="dxa" w:w="140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color w:val="1A1A1A"/>
                <w:sz w:val="20"/>
                <w:szCs w:val="20"/>
              </w:rPr>
              <w:t xml:space="preserve">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8F1F2" w:val="clear"/>
            <w:tcMar>
              <w:top w:type="dxa" w:w="140"/>
              <w:left w:type="dxa" w:w="200"/>
              <w:bottom w:type="dxa" w:w="140"/>
              <w:right w:type="dxa" w:w="200"/>
            </w:tcMar>
          </w:tcPr>
          <w:p>
            <w:pPr>
              <w:spacing w:after="60"/>
            </w:pPr>
            <w:r>
              <w:rPr>
                <w:rFonts w:ascii="Arial" w:cs="Arial" w:eastAsia="Arial" w:hAnsi="Arial"/>
                <w:b/>
                <w:bCs/>
                <w:color w:val="13808E"/>
                <w:sz w:val="21"/>
                <w:szCs w:val="21"/>
              </w:rPr>
              <w:t xml:space="preserve">Governance reminder</w:t>
            </w:r>
          </w:p>
          <w:p>
            <w:pPr>
              <w:spacing w:after="40"/>
            </w:pPr>
            <w:r>
              <w:rPr>
                <w:rFonts w:ascii="Arial" w:cs="Arial" w:eastAsia="Arial" w:hAnsi="Arial"/>
                <w:color w:val="1A1A1A"/>
                <w:sz w:val="21"/>
                <w:szCs w:val="21"/>
              </w:rPr>
              <w:t xml:space="preserve">Govern production spend tightly, but let experimental AI spend run looser — on purpose. Applying production efficiency standards to experiments either starves the experiments or creates fake governance. Allocation (showback) comes before chargeback.</w:t>
            </w:r>
          </w:p>
        </w:tc>
      </w:tr>
    </w:tbl>
    <w:p>
      <w:pPr>
        <w:pStyle w:val="Heading1"/>
        <w:pageBreakBefore/>
      </w:pPr>
      <w:r>
        <w:t xml:space="preserve">Template B — Vendor Pricing Playbook</w:t>
      </w:r>
    </w:p>
    <w:p>
      <w:pPr>
        <w:spacing w:after="120"/>
      </w:pPr>
      <w:r>
        <w:rPr>
          <w:rFonts w:ascii="Arial" w:cs="Arial" w:eastAsia="Arial" w:hAnsi="Arial"/>
          <w:color w:val="1A1A1A"/>
          <w:sz w:val="22"/>
          <w:szCs w:val="22"/>
        </w:rPr>
        <w:t xml:space="preserve">As consumption pricing takes over, your leverage is at contract time. Use these as the clauses to push for and the questions to ask every AI vendor.</w:t>
      </w:r>
    </w:p>
    <w:p>
      <w:pPr>
        <w:spacing w:after="40" w:before="160"/>
      </w:pPr>
      <w:r>
        <w:rPr>
          <w:rFonts w:ascii="Arial" w:cs="Arial" w:eastAsia="Arial" w:hAnsi="Arial"/>
          <w:b/>
          <w:bCs/>
          <w:color w:val="13808E"/>
          <w:sz w:val="19"/>
          <w:szCs w:val="19"/>
        </w:rPr>
        <w:t xml:space="preserve">CLAUSES TO PUSH FOR</w:t>
      </w:r>
    </w:p>
    <w:p>
      <w:pPr>
        <w:pStyle w:val="ListParagraph"/>
        <w:numPr>
          <w:ilvl w:val="0"/>
          <w:numId w:val="2"/>
        </w:numPr>
        <w:spacing w:after="60"/>
      </w:pPr>
      <w:r>
        <w:rPr>
          <w:rFonts w:ascii="Arial" w:cs="Arial" w:eastAsia="Arial" w:hAnsi="Arial"/>
          <w:color w:val="1A1A1A"/>
          <w:sz w:val="22"/>
          <w:szCs w:val="22"/>
        </w:rPr>
        <w:t xml:space="preserve">Transparent, itemized per-token billing — not one opaque figure.</w:t>
      </w:r>
    </w:p>
    <w:p>
      <w:pPr>
        <w:pStyle w:val="ListParagraph"/>
        <w:numPr>
          <w:ilvl w:val="0"/>
          <w:numId w:val="2"/>
        </w:numPr>
        <w:spacing w:after="60"/>
      </w:pPr>
      <w:r>
        <w:rPr>
          <w:rFonts w:ascii="Arial" w:cs="Arial" w:eastAsia="Arial" w:hAnsi="Arial"/>
          <w:color w:val="1A1A1A"/>
          <w:sz w:val="22"/>
          <w:szCs w:val="22"/>
        </w:rPr>
        <w:t xml:space="preserve">Committed-use discounts and price protection / rate-lock against mid-term increases.</w:t>
      </w:r>
    </w:p>
    <w:p>
      <w:pPr>
        <w:pStyle w:val="ListParagraph"/>
        <w:numPr>
          <w:ilvl w:val="0"/>
          <w:numId w:val="2"/>
        </w:numPr>
        <w:spacing w:after="60"/>
      </w:pPr>
      <w:r>
        <w:rPr>
          <w:rFonts w:ascii="Arial" w:cs="Arial" w:eastAsia="Arial" w:hAnsi="Arial"/>
          <w:color w:val="1A1A1A"/>
          <w:sz w:val="22"/>
          <w:szCs w:val="22"/>
        </w:rPr>
        <w:t xml:space="preserve">Eligibility for caching and batch discounts, and how cached tokens are billed.</w:t>
      </w:r>
    </w:p>
    <w:p>
      <w:pPr>
        <w:pStyle w:val="ListParagraph"/>
        <w:numPr>
          <w:ilvl w:val="0"/>
          <w:numId w:val="2"/>
        </w:numPr>
        <w:spacing w:after="60"/>
      </w:pPr>
      <w:r>
        <w:rPr>
          <w:rFonts w:ascii="Arial" w:cs="Arial" w:eastAsia="Arial" w:hAnsi="Arial"/>
          <w:color w:val="1A1A1A"/>
          <w:sz w:val="22"/>
          <w:szCs w:val="22"/>
        </w:rPr>
        <w:t xml:space="preserve">Model deprecation / sunset notice — warning before a model you depend on changes or disappears.</w:t>
      </w:r>
    </w:p>
    <w:p>
      <w:pPr>
        <w:pStyle w:val="ListParagraph"/>
        <w:numPr>
          <w:ilvl w:val="0"/>
          <w:numId w:val="2"/>
        </w:numPr>
        <w:spacing w:after="60"/>
      </w:pPr>
      <w:r>
        <w:rPr>
          <w:rFonts w:ascii="Arial" w:cs="Arial" w:eastAsia="Arial" w:hAnsi="Arial"/>
          <w:color w:val="1A1A1A"/>
          <w:sz w:val="22"/>
          <w:szCs w:val="22"/>
        </w:rPr>
        <w:t xml:space="preserve">The token-counting methodology — how a token is defined and counted, and whether that can change.</w:t>
      </w:r>
    </w:p>
    <w:p>
      <w:pPr>
        <w:pStyle w:val="ListParagraph"/>
        <w:numPr>
          <w:ilvl w:val="0"/>
          <w:numId w:val="2"/>
        </w:numPr>
        <w:spacing w:after="60"/>
      </w:pPr>
      <w:r>
        <w:rPr>
          <w:rFonts w:ascii="Arial" w:cs="Arial" w:eastAsia="Arial" w:hAnsi="Arial"/>
          <w:color w:val="1A1A1A"/>
          <w:sz w:val="22"/>
          <w:szCs w:val="22"/>
        </w:rPr>
        <w:t xml:space="preserve">Overage, rate-limit, and burst terms — what happens, and at what price, above your tier.</w:t>
      </w:r>
    </w:p>
    <w:p>
      <w:pPr>
        <w:spacing w:after="40" w:before="160"/>
      </w:pPr>
      <w:r>
        <w:rPr>
          <w:rFonts w:ascii="Arial" w:cs="Arial" w:eastAsia="Arial" w:hAnsi="Arial"/>
          <w:b/>
          <w:bCs/>
          <w:color w:val="13808E"/>
          <w:sz w:val="19"/>
          <w:szCs w:val="19"/>
        </w:rPr>
        <w:t xml:space="preserve">QUESTION BANK (STEAL THESE)</w:t>
      </w:r>
    </w:p>
    <w:p>
      <w:pPr>
        <w:pStyle w:val="ListParagraph"/>
        <w:numPr>
          <w:ilvl w:val="0"/>
          <w:numId w:val="3"/>
        </w:numPr>
        <w:spacing w:after="60"/>
      </w:pPr>
      <w:r>
        <w:rPr>
          <w:rFonts w:ascii="Arial" w:cs="Arial" w:eastAsia="Arial" w:hAnsi="Arial"/>
          <w:color w:val="1A1A1A"/>
          <w:sz w:val="22"/>
          <w:szCs w:val="22"/>
        </w:rPr>
        <w:t xml:space="preserve">“Can you show billing itemized by model, input vs output, and cached vs uncached tokens?”</w:t>
      </w:r>
    </w:p>
    <w:p>
      <w:pPr>
        <w:pStyle w:val="ListParagraph"/>
        <w:numPr>
          <w:ilvl w:val="0"/>
          <w:numId w:val="3"/>
        </w:numPr>
        <w:spacing w:after="60"/>
      </w:pPr>
      <w:r>
        <w:rPr>
          <w:rFonts w:ascii="Arial" w:cs="Arial" w:eastAsia="Arial" w:hAnsi="Arial"/>
          <w:color w:val="1A1A1A"/>
          <w:sz w:val="22"/>
          <w:szCs w:val="22"/>
        </w:rPr>
        <w:t xml:space="preserve">“What committed-use or volume discounts apply, and can we lock pricing for the term?”</w:t>
      </w:r>
    </w:p>
    <w:p>
      <w:pPr>
        <w:pStyle w:val="ListParagraph"/>
        <w:numPr>
          <w:ilvl w:val="0"/>
          <w:numId w:val="3"/>
        </w:numPr>
        <w:spacing w:after="60"/>
      </w:pPr>
      <w:r>
        <w:rPr>
          <w:rFonts w:ascii="Arial" w:cs="Arial" w:eastAsia="Arial" w:hAnsi="Arial"/>
          <w:color w:val="1A1A1A"/>
          <w:sz w:val="22"/>
          <w:szCs w:val="22"/>
        </w:rPr>
        <w:t xml:space="preserve">“How are cached and batched tokens priced, and what qualifies?”</w:t>
      </w:r>
    </w:p>
    <w:p>
      <w:pPr>
        <w:pStyle w:val="ListParagraph"/>
        <w:numPr>
          <w:ilvl w:val="0"/>
          <w:numId w:val="3"/>
        </w:numPr>
        <w:spacing w:after="60"/>
      </w:pPr>
      <w:r>
        <w:rPr>
          <w:rFonts w:ascii="Arial" w:cs="Arial" w:eastAsia="Arial" w:hAnsi="Arial"/>
          <w:color w:val="1A1A1A"/>
          <w:sz w:val="22"/>
          <w:szCs w:val="22"/>
        </w:rPr>
        <w:t xml:space="preserve">“What notice do we get before a model is deprecated or its behavior changes?”</w:t>
      </w:r>
    </w:p>
    <w:p>
      <w:pPr>
        <w:pStyle w:val="ListParagraph"/>
        <w:numPr>
          <w:ilvl w:val="0"/>
          <w:numId w:val="3"/>
        </w:numPr>
        <w:spacing w:after="60"/>
      </w:pPr>
      <w:r>
        <w:rPr>
          <w:rFonts w:ascii="Arial" w:cs="Arial" w:eastAsia="Arial" w:hAnsi="Arial"/>
          <w:color w:val="1A1A1A"/>
          <w:sz w:val="22"/>
          <w:szCs w:val="22"/>
        </w:rPr>
        <w:t xml:space="preserve">“How do you define and count a token, and has that definition changed in the last year?”</w:t>
      </w:r>
    </w:p>
    <w:p>
      <w:pPr>
        <w:pStyle w:val="ListParagraph"/>
        <w:numPr>
          <w:ilvl w:val="0"/>
          <w:numId w:val="3"/>
        </w:numPr>
        <w:spacing w:after="60"/>
      </w:pPr>
      <w:r>
        <w:rPr>
          <w:rFonts w:ascii="Arial" w:cs="Arial" w:eastAsia="Arial" w:hAnsi="Arial"/>
          <w:color w:val="1A1A1A"/>
          <w:sz w:val="22"/>
          <w:szCs w:val="22"/>
        </w:rPr>
        <w:t xml:space="preserve">“What are the overage and rate-limit terms, and what do they cost?”</w:t>
      </w:r>
    </w:p>
    <w:p>
      <w:pPr>
        <w:spacing w:after="80"/>
      </w:pPr>
    </w:p>
    <w:p>
      <w:pPr>
        <w:spacing w:after="40" w:before="160"/>
      </w:pPr>
      <w:r>
        <w:rPr>
          <w:rFonts w:ascii="Arial" w:cs="Arial" w:eastAsia="Arial" w:hAnsi="Arial"/>
          <w:b/>
          <w:bCs/>
          <w:color w:val="13808E"/>
          <w:sz w:val="19"/>
          <w:szCs w:val="19"/>
        </w:rPr>
        <w:t xml:space="preserve">MY FIVE QUESTIONS FOR MY NEXT RENEWAL</w:t>
      </w:r>
    </w:p>
    <w:p>
      <w:pPr>
        <w:pBdr>
          <w:bottom w:val="single" w:color="AEC4C6" w:sz="4" w:space="2"/>
        </w:pBdr>
        <w:spacing w:after="0" w:before="60"/>
      </w:pPr>
      <w:r>
        <w:rPr>
          <w:rFonts w:ascii="Arial" w:cs="Arial" w:eastAsia="Arial" w:hAnsi="Arial"/>
          <w:color w:val="5A5A5A"/>
          <w:sz w:val="20"/>
          <w:szCs w:val="20"/>
        </w:rPr>
        <w:t xml:space="preserve"/>
      </w:r>
    </w:p>
    <w:p>
      <w:pPr>
        <w:pBdr>
          <w:bottom w:val="single" w:color="AEC4C6" w:sz="4" w:space="2"/>
        </w:pBdr>
        <w:spacing w:after="0" w:before="180"/>
      </w:pPr>
      <w:r>
        <w:rPr>
          <w:rFonts w:ascii="Arial" w:cs="Arial" w:eastAsia="Arial" w:hAnsi="Arial"/>
          <w:color w:val="5A5A5A"/>
          <w:sz w:val="20"/>
          <w:szCs w:val="20"/>
        </w:rPr>
        <w:t xml:space="preserve"/>
      </w:r>
    </w:p>
    <w:p>
      <w:pPr>
        <w:pBdr>
          <w:bottom w:val="single" w:color="AEC4C6" w:sz="4" w:space="2"/>
        </w:pBdr>
        <w:spacing w:after="0" w:before="180"/>
      </w:pPr>
      <w:r>
        <w:rPr>
          <w:rFonts w:ascii="Arial" w:cs="Arial" w:eastAsia="Arial" w:hAnsi="Arial"/>
          <w:color w:val="5A5A5A"/>
          <w:sz w:val="20"/>
          <w:szCs w:val="20"/>
        </w:rPr>
        <w:t xml:space="preserve"/>
      </w:r>
    </w:p>
    <w:p>
      <w:pPr>
        <w:pBdr>
          <w:bottom w:val="single" w:color="AEC4C6" w:sz="4" w:space="2"/>
        </w:pBdr>
        <w:spacing w:after="0" w:before="180"/>
      </w:pPr>
      <w:r>
        <w:rPr>
          <w:rFonts w:ascii="Arial" w:cs="Arial" w:eastAsia="Arial" w:hAnsi="Arial"/>
          <w:color w:val="5A5A5A"/>
          <w:sz w:val="20"/>
          <w:szCs w:val="20"/>
        </w:rPr>
        <w:t xml:space="preserve"/>
      </w:r>
    </w:p>
    <w:p>
      <w:pPr>
        <w:pBdr>
          <w:bottom w:val="single" w:color="AEC4C6" w:sz="4" w:space="2"/>
        </w:pBdr>
        <w:spacing w:after="0" w:before="180"/>
      </w:pPr>
      <w:r>
        <w:rPr>
          <w:rFonts w:ascii="Arial" w:cs="Arial" w:eastAsia="Arial" w:hAnsi="Arial"/>
          <w:color w:val="5A5A5A"/>
          <w:sz w:val="20"/>
          <w:szCs w:val="20"/>
        </w:rPr>
        <w:t xml:space="preserve"/>
      </w:r>
    </w:p>
    <w:p>
      <w:pPr>
        <w:pStyle w:val="Heading1"/>
        <w:pageBreakBefore/>
      </w:pPr>
      <w:r>
        <w:t xml:space="preserve">Your 30-60-90 day action plan</w:t>
      </w:r>
    </w:p>
    <w:p>
      <w:pPr>
        <w:spacing w:after="120"/>
      </w:pPr>
      <w:r>
        <w:rPr>
          <w:rFonts w:ascii="Arial" w:cs="Arial" w:eastAsia="Arial" w:hAnsi="Arial"/>
          <w:color w:val="1A1A1A"/>
          <w:sz w:val="22"/>
          <w:szCs w:val="22"/>
        </w:rPr>
        <w:t xml:space="preserve">Collapse today into three moves. Write the specific action and who owns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360"/>
        <w:gridCol w:w="2100"/>
      </w:tblGrid>
      <w:tr>
        <w:trPr>
          <w:tblHeader/>
        </w:trPr>
        <w:tc>
          <w:tcPr>
            <w:tcW w:type="dxa" w:w="150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pPr>
              <w:spacing w:after="20"/>
            </w:pPr>
            <w:r>
              <w:rPr>
                <w:rFonts w:ascii="Arial" w:cs="Arial" w:eastAsia="Arial" w:hAnsi="Arial"/>
                <w:b/>
                <w:bCs/>
                <w:color w:val="FFFFFF"/>
                <w:sz w:val="20"/>
                <w:szCs w:val="20"/>
              </w:rPr>
              <w:t xml:space="preserve">Horizon</w:t>
            </w:r>
          </w:p>
        </w:tc>
        <w:tc>
          <w:tcPr>
            <w:tcW w:type="dxa" w:w="240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pPr>
              <w:spacing w:after="20"/>
            </w:pPr>
            <w:r>
              <w:rPr>
                <w:rFonts w:ascii="Arial" w:cs="Arial" w:eastAsia="Arial" w:hAnsi="Arial"/>
                <w:b/>
                <w:bCs/>
                <w:color w:val="FFFFFF"/>
                <w:sz w:val="20"/>
                <w:szCs w:val="20"/>
              </w:rPr>
              <w:t xml:space="preserve">Theme</w:t>
            </w:r>
          </w:p>
        </w:tc>
        <w:tc>
          <w:tcPr>
            <w:tcW w:type="dxa" w:w="336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pPr>
              <w:spacing w:after="20"/>
            </w:pPr>
            <w:r>
              <w:rPr>
                <w:rFonts w:ascii="Arial" w:cs="Arial" w:eastAsia="Arial" w:hAnsi="Arial"/>
                <w:b/>
                <w:bCs/>
                <w:color w:val="FFFFFF"/>
                <w:sz w:val="20"/>
                <w:szCs w:val="20"/>
              </w:rPr>
              <w:t xml:space="preserve">My specific action</w:t>
            </w:r>
          </w:p>
        </w:tc>
        <w:tc>
          <w:tcPr>
            <w:tcW w:type="dxa" w:w="210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pPr>
              <w:spacing w:after="20"/>
            </w:pPr>
            <w:r>
              <w:rPr>
                <w:rFonts w:ascii="Arial" w:cs="Arial" w:eastAsia="Arial" w:hAnsi="Arial"/>
                <w:b/>
                <w:bCs/>
                <w:color w:val="FFFFFF"/>
                <w:sz w:val="20"/>
                <w:szCs w:val="20"/>
              </w:rPr>
              <w:t xml:space="preserve">Owner</w:t>
            </w:r>
          </w:p>
        </w:tc>
      </w:tr>
      <w:tr>
        <w:trPr>
          <w:tblHeader w:val="false"/>
        </w:trPr>
        <w:tc>
          <w:tcPr>
            <w:tcW w:type="dxa" w:w="15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b/>
                <w:bCs/>
                <w:color w:val="1A1A1A"/>
                <w:sz w:val="20"/>
                <w:szCs w:val="20"/>
              </w:rPr>
              <w:t xml:space="preserve">30 days</w:t>
            </w:r>
          </w:p>
        </w:tc>
        <w:tc>
          <w:tcPr>
            <w:tcW w:type="dxa" w:w="24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Get visibility</w:t>
            </w:r>
          </w:p>
        </w:tc>
        <w:tc>
          <w:tcPr>
            <w:tcW w:type="dxa" w:w="336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i/>
                <w:iCs/>
                <w:color w:val="5A5A5A"/>
                <w:sz w:val="20"/>
                <w:szCs w:val="20"/>
              </w:rPr>
              <w:t xml:space="preserve">Instrument cost per transaction on one workload</w:t>
            </w:r>
          </w:p>
        </w:tc>
        <w:tc>
          <w:tcPr>
            <w:tcW w:type="dxa" w:w="21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 </w:t>
            </w:r>
          </w:p>
        </w:tc>
      </w:tr>
      <w:tr>
        <w:trPr>
          <w:tblHeader w:val="false"/>
        </w:trPr>
        <w:tc>
          <w:tcPr>
            <w:tcW w:type="dxa" w:w="15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b/>
                <w:bCs/>
                <w:color w:val="1A1A1A"/>
                <w:sz w:val="20"/>
                <w:szCs w:val="20"/>
              </w:rPr>
              <w:t xml:space="preserve">60 days</w:t>
            </w:r>
          </w:p>
        </w:tc>
        <w:tc>
          <w:tcPr>
            <w:tcW w:type="dxa" w:w="24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Prove a saving</w:t>
            </w:r>
          </w:p>
        </w:tc>
        <w:tc>
          <w:tcPr>
            <w:tcW w:type="dxa" w:w="336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i/>
                <w:iCs/>
                <w:color w:val="5A5A5A"/>
                <w:sz w:val="20"/>
                <w:szCs w:val="20"/>
              </w:rPr>
              <w:t xml:space="preserve">Apply caching or routing to one workload; measure before/after</w:t>
            </w:r>
          </w:p>
        </w:tc>
        <w:tc>
          <w:tcPr>
            <w:tcW w:type="dxa" w:w="21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 </w:t>
            </w:r>
          </w:p>
        </w:tc>
      </w:tr>
      <w:tr>
        <w:trPr>
          <w:tblHeader w:val="false"/>
        </w:trPr>
        <w:tc>
          <w:tcPr>
            <w:tcW w:type="dxa" w:w="15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b/>
                <w:bCs/>
                <w:color w:val="1A1A1A"/>
                <w:sz w:val="20"/>
                <w:szCs w:val="20"/>
              </w:rPr>
              <w:t xml:space="preserve">90 days</w:t>
            </w:r>
          </w:p>
        </w:tc>
        <w:tc>
          <w:tcPr>
            <w:tcW w:type="dxa" w:w="24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Make it stick</w:t>
            </w:r>
          </w:p>
        </w:tc>
        <w:tc>
          <w:tcPr>
            <w:tcW w:type="dxa" w:w="3360"/>
            <w:tcBorders>
              <w:top w:val="single" w:color="C9D6D8" w:sz="1"/>
              <w:left w:val="single" w:color="C9D6D8" w:sz="1"/>
              <w:bottom w:val="single" w:color="C9D6D8" w:sz="1"/>
              <w:right w:val="single" w:color="C9D6D8" w:sz="1"/>
            </w:tcBorders>
            <w:tcMar>
              <w:top w:type="dxa" w:w="70"/>
              <w:left w:type="dxa" w:w="110"/>
              <w:bottom w:type="dxa" w:w="240"/>
              <w:right w:type="dxa" w:w="110"/>
            </w:tcMar>
          </w:tcPr>
          <w:p>
            <w:pPr>
              <w:spacing w:after="20"/>
            </w:pPr>
            <w:r>
              <w:rPr>
                <w:rFonts w:ascii="Arial" w:cs="Arial" w:eastAsia="Arial" w:hAnsi="Arial"/>
                <w:i/>
                <w:iCs/>
                <w:color w:val="5A5A5A"/>
                <w:sz w:val="20"/>
                <w:szCs w:val="20"/>
              </w:rPr>
              <w:t xml:space="preserve">Assign owners, separate scopes, take the playbook into one renewal</w:t>
            </w:r>
          </w:p>
        </w:tc>
        <w:tc>
          <w:tcPr>
            <w:tcW w:type="dxa" w:w="2100"/>
            <w:tcBorders>
              <w:top w:val="single" w:color="C9D6D8" w:sz="1"/>
              <w:left w:val="single" w:color="C9D6D8" w:sz="1"/>
              <w:bottom w:val="single" w:color="C9D6D8" w:sz="1"/>
              <w:right w:val="single" w:color="C9D6D8" w:sz="1"/>
            </w:tcBorders>
            <w:tcMar>
              <w:top w:type="dxa" w:w="70"/>
              <w:left w:type="dxa" w:w="110"/>
              <w:bottom w:type="dxa" w:w="70"/>
              <w:right w:type="dxa" w:w="110"/>
            </w:tcMar>
          </w:tcPr>
          <w:p>
            <w:pPr>
              <w:spacing w:after="20"/>
            </w:pPr>
            <w:r>
              <w:rPr>
                <w:rFonts w:ascii="Arial" w:cs="Arial" w:eastAsia="Arial" w:hAnsi="Arial"/>
                <w:color w:val="1A1A1A"/>
                <w:sz w:val="20"/>
                <w:szCs w:val="20"/>
              </w:rPr>
              <w:t xml:space="preserve"> </w:t>
            </w:r>
          </w:p>
        </w:tc>
      </w:tr>
    </w:tbl>
    <w:p>
      <w:pPr>
        <w:pStyle w:val="Heading1"/>
        <w:pageBreakBefore/>
      </w:pPr>
      <w:r>
        <w:t xml:space="preserve">Quick glossary</w:t>
      </w:r>
    </w:p>
    <w:p>
      <w:pPr>
        <w:spacing w:after="80"/>
      </w:pPr>
      <w:r>
        <w:rPr>
          <w:rFonts w:ascii="Arial" w:cs="Arial" w:eastAsia="Arial" w:hAnsi="Arial"/>
          <w:b/>
          <w:bCs/>
          <w:color w:val="0B5563"/>
          <w:sz w:val="22"/>
          <w:szCs w:val="22"/>
        </w:rPr>
        <w:t xml:space="preserve">Token — </w:t>
      </w:r>
      <w:r>
        <w:rPr>
          <w:rFonts w:ascii="Arial" w:cs="Arial" w:eastAsia="Arial" w:hAnsi="Arial"/>
          <w:color w:val="1A1A1A"/>
          <w:sz w:val="22"/>
          <w:szCs w:val="22"/>
        </w:rPr>
        <w:t xml:space="preserve">the unit AI is billed on; ~1,000 tokens ≈ 750 words</w:t>
      </w:r>
    </w:p>
    <w:p>
      <w:pPr>
        <w:spacing w:after="80"/>
      </w:pPr>
      <w:r>
        <w:rPr>
          <w:rFonts w:ascii="Arial" w:cs="Arial" w:eastAsia="Arial" w:hAnsi="Arial"/>
          <w:b/>
          <w:bCs/>
          <w:color w:val="0B5563"/>
          <w:sz w:val="22"/>
          <w:szCs w:val="22"/>
        </w:rPr>
        <w:t xml:space="preserve">Input / output tokens — </w:t>
      </w:r>
      <w:r>
        <w:rPr>
          <w:rFonts w:ascii="Arial" w:cs="Arial" w:eastAsia="Arial" w:hAnsi="Arial"/>
          <w:color w:val="1A1A1A"/>
          <w:sz w:val="22"/>
          <w:szCs w:val="22"/>
        </w:rPr>
        <w:t xml:space="preserve">what you send vs what the model generates; output costs ~3–10x more</w:t>
      </w:r>
    </w:p>
    <w:p>
      <w:pPr>
        <w:spacing w:after="80"/>
      </w:pPr>
      <w:r>
        <w:rPr>
          <w:rFonts w:ascii="Arial" w:cs="Arial" w:eastAsia="Arial" w:hAnsi="Arial"/>
          <w:b/>
          <w:bCs/>
          <w:color w:val="0B5563"/>
          <w:sz w:val="22"/>
          <w:szCs w:val="22"/>
        </w:rPr>
        <w:t xml:space="preserve">Prompt caching — </w:t>
      </w:r>
      <w:r>
        <w:rPr>
          <w:rFonts w:ascii="Arial" w:cs="Arial" w:eastAsia="Arial" w:hAnsi="Arial"/>
          <w:color w:val="1A1A1A"/>
          <w:sz w:val="22"/>
          <w:szCs w:val="22"/>
        </w:rPr>
        <w:t xml:space="preserve">reusing a stable prompt prefix to avoid re-paying to read it (up to ~90% off cached input)</w:t>
      </w:r>
    </w:p>
    <w:p>
      <w:pPr>
        <w:spacing w:after="80"/>
      </w:pPr>
      <w:r>
        <w:rPr>
          <w:rFonts w:ascii="Arial" w:cs="Arial" w:eastAsia="Arial" w:hAnsi="Arial"/>
          <w:b/>
          <w:bCs/>
          <w:color w:val="0B5563"/>
          <w:sz w:val="22"/>
          <w:szCs w:val="22"/>
        </w:rPr>
        <w:t xml:space="preserve">Model routing — </w:t>
      </w:r>
      <w:r>
        <w:rPr>
          <w:rFonts w:ascii="Arial" w:cs="Arial" w:eastAsia="Arial" w:hAnsi="Arial"/>
          <w:color w:val="1A1A1A"/>
          <w:sz w:val="22"/>
          <w:szCs w:val="22"/>
        </w:rPr>
        <w:t xml:space="preserve">sending each request to the cheapest model that meets your quality bar</w:t>
      </w:r>
    </w:p>
    <w:p>
      <w:pPr>
        <w:spacing w:after="80"/>
      </w:pPr>
      <w:r>
        <w:rPr>
          <w:rFonts w:ascii="Arial" w:cs="Arial" w:eastAsia="Arial" w:hAnsi="Arial"/>
          <w:b/>
          <w:bCs/>
          <w:color w:val="0B5563"/>
          <w:sz w:val="22"/>
          <w:szCs w:val="22"/>
        </w:rPr>
        <w:t xml:space="preserve">Batch API — </w:t>
      </w:r>
      <w:r>
        <w:rPr>
          <w:rFonts w:ascii="Arial" w:cs="Arial" w:eastAsia="Arial" w:hAnsi="Arial"/>
          <w:color w:val="1A1A1A"/>
          <w:sz w:val="22"/>
          <w:szCs w:val="22"/>
        </w:rPr>
        <w:t xml:space="preserve">asynchronous endpoint for non-urgent jobs, usually ~50% cheaper</w:t>
      </w:r>
    </w:p>
    <w:p>
      <w:pPr>
        <w:spacing w:after="80"/>
      </w:pPr>
      <w:r>
        <w:rPr>
          <w:rFonts w:ascii="Arial" w:cs="Arial" w:eastAsia="Arial" w:hAnsi="Arial"/>
          <w:b/>
          <w:bCs/>
          <w:color w:val="0B5563"/>
          <w:sz w:val="22"/>
          <w:szCs w:val="22"/>
        </w:rPr>
        <w:t xml:space="preserve">Showback / chargeback — </w:t>
      </w:r>
      <w:r>
        <w:rPr>
          <w:rFonts w:ascii="Arial" w:cs="Arial" w:eastAsia="Arial" w:hAnsi="Arial"/>
          <w:color w:val="1A1A1A"/>
          <w:sz w:val="22"/>
          <w:szCs w:val="22"/>
        </w:rPr>
        <w:t xml:space="preserve">showing teams their spend vs billing them for it</w:t>
      </w:r>
    </w:p>
    <w:p>
      <w:pPr>
        <w:spacing w:after="80"/>
      </w:pPr>
      <w:r>
        <w:rPr>
          <w:rFonts w:ascii="Arial" w:cs="Arial" w:eastAsia="Arial" w:hAnsi="Arial"/>
          <w:b/>
          <w:bCs/>
          <w:color w:val="0B5563"/>
          <w:sz w:val="22"/>
          <w:szCs w:val="22"/>
        </w:rPr>
        <w:t xml:space="preserve">Cost per transaction — </w:t>
      </w:r>
      <w:r>
        <w:rPr>
          <w:rFonts w:ascii="Arial" w:cs="Arial" w:eastAsia="Arial" w:hAnsi="Arial"/>
          <w:color w:val="1A1A1A"/>
          <w:sz w:val="22"/>
          <w:szCs w:val="22"/>
        </w:rPr>
        <w:t xml:space="preserve">spend attributed to one unit of work — the metric most teams still lack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A5A5A"/>
        <w:sz w:val="16"/>
        <w:szCs w:val="16"/>
      </w:rPr>
      <w:t xml:space="preserve">Yours to keep</w:t>
    </w:r>
    <w:r>
      <w:rPr>
        <w:rFonts w:ascii="Arial" w:cs="Arial" w:eastAsia="Arial" w:hAnsi="Arial"/>
        <w:color w:val="5A5A5A"/>
        <w:sz w:val="16"/>
        <w:szCs w:val="16"/>
      </w:rPr>
      <w:t xml:space="preserve">	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6E7" w:sz="4" w:space="4"/>
      </w:pBdr>
      <w:tabs>
        <w:tab w:val="right" w:pos="9026"/>
      </w:tabs>
    </w:pPr>
    <w:r>
      <w:rPr>
        <w:rFonts w:ascii="Arial" w:cs="Arial" w:eastAsia="Arial" w:hAnsi="Arial"/>
        <w:color w:val="5A5A5A"/>
        <w:sz w:val="16"/>
        <w:szCs w:val="16"/>
      </w:rPr>
      <w:t xml:space="preserve">Tokenomics Workshop</w:t>
    </w:r>
    <w:r>
      <w:rPr>
        <w:rFonts w:ascii="Arial" w:cs="Arial" w:eastAsia="Arial" w:hAnsi="Arial"/>
        <w:color w:val="5A5A5A"/>
        <w:sz w:val="16"/>
        <w:szCs w:val="16"/>
      </w:rPr>
      <w:t xml:space="preserve">	Participant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D4D6" w:sz="8" w:space="6"/>
      </w:pBdr>
      <w:spacing w:after="160" w:before="240"/>
      <w:outlineLvl w:val="0"/>
    </w:pPr>
    <w:rPr>
      <w:rFonts w:ascii="Arial" w:cs="Arial" w:eastAsia="Arial" w:hAnsi="Arial"/>
      <w:b/>
      <w:bCs/>
      <w:color w:val="0B5563"/>
      <w:sz w:val="34"/>
      <w:szCs w:val="34"/>
    </w:rPr>
  </w:style>
  <w:style w:type="paragraph" w:styleId="Heading2">
    <w:name w:val="Heading 2"/>
    <w:basedOn w:val="Normal"/>
    <w:next w:val="Normal"/>
    <w:qFormat/>
    <w:pPr>
      <w:spacing w:after="90" w:before="180"/>
      <w:outlineLvl w:val="1"/>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Tokenomics Workshop — Participant Workbook</dc:title>
  <dc:creator>Tokenomics Workshop</dc:creator>
  <cp:lastModifiedBy>Un-named</cp:lastModifiedBy>
  <cp:revision>1</cp:revision>
  <dcterms:created xsi:type="dcterms:W3CDTF">2026-06-16T11:40:58.310Z</dcterms:created>
  <dcterms:modified xsi:type="dcterms:W3CDTF">2026-06-16T11:40:58.326Z</dcterms:modified>
</cp:coreProperties>
</file>

<file path=docProps/custom.xml><?xml version="1.0" encoding="utf-8"?>
<Properties xmlns="http://schemas.openxmlformats.org/officeDocument/2006/custom-properties" xmlns:vt="http://schemas.openxmlformats.org/officeDocument/2006/docPropsVTypes"/>
</file>