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8B41" w14:textId="680E6C53" w:rsidR="00586A35" w:rsidRPr="00586A35" w:rsidRDefault="0039757D" w:rsidP="00DE0F78">
      <w:pPr>
        <w:pStyle w:val="Titledocument"/>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bCs/>
          <w14:ligatures w14:val="standard"/>
        </w:rPr>
        <w:t xml:space="preserve">XAI Applications in Auto </w:t>
      </w:r>
      <w:r w:rsidR="00B44874">
        <w:rPr>
          <w:bCs/>
          <w14:ligatures w14:val="standard"/>
        </w:rPr>
        <w:t>Loan</w:t>
      </w:r>
      <w:r>
        <w:rPr>
          <w:bCs/>
          <w14:ligatures w14:val="standard"/>
        </w:rPr>
        <w:t xml:space="preserve"> Default</w:t>
      </w:r>
      <w:r w:rsidR="00DE0F78">
        <w:rPr>
          <w:bCs/>
          <w14:ligatures w14:val="standard"/>
        </w:rPr>
        <w:t xml:space="preserve"> Modeling</w:t>
      </w:r>
    </w:p>
    <w:p w14:paraId="4497E392" w14:textId="77777777" w:rsidR="0039757D" w:rsidRDefault="0039757D" w:rsidP="00586A35">
      <w:pPr>
        <w:pStyle w:val="Authors"/>
        <w:jc w:val="center"/>
        <w:rPr>
          <w:rStyle w:val="FirstName"/>
          <w14:ligatures w14:val="standard"/>
        </w:rPr>
      </w:pPr>
    </w:p>
    <w:p w14:paraId="78D03B73" w14:textId="77777777" w:rsidR="0039757D" w:rsidRDefault="0039757D" w:rsidP="00586A35">
      <w:pPr>
        <w:pStyle w:val="Authors"/>
        <w:jc w:val="center"/>
        <w:rPr>
          <w:rStyle w:val="FirstName"/>
          <w14:ligatures w14:val="standard"/>
        </w:rPr>
      </w:pPr>
    </w:p>
    <w:p w14:paraId="1D7B16E8" w14:textId="12022EF6" w:rsidR="00586A35" w:rsidRPr="00586A35" w:rsidRDefault="0039757D" w:rsidP="00586A35">
      <w:pPr>
        <w:pStyle w:val="Authors"/>
        <w:jc w:val="center"/>
        <w:rPr>
          <w14:ligatures w14:val="standard"/>
        </w:rPr>
      </w:pPr>
      <w:r>
        <w:rPr>
          <w:rStyle w:val="FirstName"/>
          <w14:ligatures w14:val="standard"/>
        </w:rPr>
        <w:t>Kevin Sweet</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Data Science Graduate</w:t>
      </w:r>
      <w:r w:rsidR="00586A35" w:rsidRPr="00586A35">
        <w:rPr>
          <w:rStyle w:val="OrgName"/>
          <w:color w:val="auto"/>
          <w:sz w:val="20"/>
          <w14:ligatures w14:val="standard"/>
        </w:rPr>
        <w:br/>
        <w:t xml:space="preserve"> </w:t>
      </w:r>
      <w:r>
        <w:rPr>
          <w:rStyle w:val="OrgName"/>
          <w:color w:val="auto"/>
          <w:sz w:val="20"/>
          <w14:ligatures w14:val="standard"/>
        </w:rPr>
        <w:t>University of Washington</w:t>
      </w:r>
      <w:r w:rsidR="00586A35" w:rsidRPr="00586A35">
        <w:rPr>
          <w:rStyle w:val="OrgName"/>
          <w:color w:val="auto"/>
          <w:sz w:val="20"/>
          <w14:ligatures w14:val="standard"/>
        </w:rPr>
        <w:br/>
        <w:t xml:space="preserve"> </w:t>
      </w:r>
      <w:r>
        <w:rPr>
          <w:rStyle w:val="City"/>
          <w:sz w:val="20"/>
          <w14:ligatures w14:val="standard"/>
        </w:rPr>
        <w:t>Seattle WA USA</w:t>
      </w:r>
      <w:r w:rsidR="00586A35" w:rsidRPr="00586A35">
        <w:rPr>
          <w:sz w:val="20"/>
          <w14:ligatures w14:val="standard"/>
        </w:rPr>
        <w:br/>
        <w:t xml:space="preserve"> </w:t>
      </w:r>
      <w:r>
        <w:rPr>
          <w:rStyle w:val="Email"/>
          <w:color w:val="auto"/>
          <w:sz w:val="20"/>
          <w14:ligatures w14:val="standard"/>
        </w:rPr>
        <w:t>ksweet1@uw.edu</w:t>
      </w:r>
    </w:p>
    <w:p w14:paraId="753F4D4B" w14:textId="56DACD0D" w:rsidR="00F3231F" w:rsidRPr="00586A35" w:rsidRDefault="00586A35" w:rsidP="00586A35">
      <w:pPr>
        <w:pStyle w:val="Authors"/>
        <w:jc w:val="center"/>
        <w:rPr>
          <w14:ligatures w14:val="standard"/>
        </w:rPr>
      </w:pPr>
      <w:r w:rsidRPr="00586A35">
        <w:rPr>
          <w:rStyle w:val="OrgName"/>
          <w:color w:val="auto"/>
          <w:sz w:val="20"/>
          <w14:ligatures w14:val="standard"/>
        </w:rPr>
        <w:br/>
      </w:r>
    </w:p>
    <w:p w14:paraId="18852D16"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6103F93"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863CE48" w14:textId="77777777" w:rsidR="0007392C" w:rsidRPr="00586A35" w:rsidRDefault="007A502C" w:rsidP="00694749">
      <w:pPr>
        <w:pStyle w:val="AbsHead"/>
        <w:rPr>
          <w14:ligatures w14:val="standard"/>
        </w:rPr>
      </w:pPr>
      <w:r w:rsidRPr="00586A35">
        <w:rPr>
          <w14:ligatures w14:val="standard"/>
        </w:rPr>
        <w:t>ABSTRACT</w:t>
      </w:r>
    </w:p>
    <w:p w14:paraId="57ED7EF0" w14:textId="568F3242" w:rsidR="009949CD" w:rsidRDefault="007334C1" w:rsidP="009949CD">
      <w:pPr>
        <w:pStyle w:val="Abstract"/>
        <w:rPr>
          <w:rFonts w:eastAsia="Verdana"/>
          <w14:ligatures w14:val="standard"/>
        </w:rPr>
      </w:pPr>
      <w:r>
        <w:rPr>
          <w:rFonts w:eastAsia="Verdana"/>
          <w14:ligatures w14:val="standard"/>
        </w:rPr>
        <w:t>Consumer loan underwriting requires a high level of transparency</w:t>
      </w:r>
      <w:r w:rsidR="005155D8">
        <w:rPr>
          <w:rFonts w:eastAsia="Verdana"/>
          <w14:ligatures w14:val="standard"/>
        </w:rPr>
        <w:t xml:space="preserve"> in the output of predictive models</w:t>
      </w:r>
      <w:r>
        <w:rPr>
          <w:rFonts w:eastAsia="Verdana"/>
          <w14:ligatures w14:val="standard"/>
        </w:rPr>
        <w:t xml:space="preserve">. This constraint has limited the techniques possible for predicting the creditworthiness of an applicant. This work seeks to apply </w:t>
      </w:r>
      <w:r w:rsidR="00CE3B21">
        <w:rPr>
          <w:rFonts w:eastAsia="Verdana"/>
          <w14:ligatures w14:val="standard"/>
        </w:rPr>
        <w:t>an</w:t>
      </w:r>
      <w:r>
        <w:rPr>
          <w:rFonts w:eastAsia="Verdana"/>
          <w14:ligatures w14:val="standard"/>
        </w:rPr>
        <w:t xml:space="preserve"> explainable AI framework</w:t>
      </w:r>
      <w:r w:rsidR="00CE3B21">
        <w:rPr>
          <w:rFonts w:eastAsia="Verdana"/>
          <w14:ligatures w14:val="standard"/>
        </w:rPr>
        <w:t xml:space="preserve"> </w:t>
      </w:r>
      <w:r>
        <w:rPr>
          <w:rFonts w:eastAsia="Verdana"/>
          <w14:ligatures w14:val="standard"/>
        </w:rPr>
        <w:t>to</w:t>
      </w:r>
      <w:r w:rsidR="00CE3B21">
        <w:rPr>
          <w:rFonts w:eastAsia="Verdana"/>
          <w14:ligatures w14:val="standard"/>
        </w:rPr>
        <w:t xml:space="preserve"> a</w:t>
      </w:r>
      <w:r>
        <w:rPr>
          <w:rFonts w:eastAsia="Verdana"/>
          <w14:ligatures w14:val="standard"/>
        </w:rPr>
        <w:t xml:space="preserve"> </w:t>
      </w:r>
      <w:r w:rsidR="00CE3B21">
        <w:rPr>
          <w:rFonts w:eastAsia="Verdana"/>
          <w14:ligatures w14:val="standard"/>
        </w:rPr>
        <w:t>black box model</w:t>
      </w:r>
      <w:r w:rsidR="009949CD">
        <w:rPr>
          <w:rFonts w:eastAsia="Verdana"/>
          <w14:ligatures w14:val="standard"/>
        </w:rPr>
        <w:t xml:space="preserve"> that predict</w:t>
      </w:r>
      <w:r w:rsidR="00BE1928">
        <w:rPr>
          <w:rFonts w:eastAsia="Verdana"/>
          <w14:ligatures w14:val="standard"/>
        </w:rPr>
        <w:t>s</w:t>
      </w:r>
      <w:r w:rsidR="009949CD">
        <w:rPr>
          <w:rFonts w:eastAsia="Verdana"/>
          <w14:ligatures w14:val="standard"/>
        </w:rPr>
        <w:t xml:space="preserve"> </w:t>
      </w:r>
      <w:r w:rsidR="00357596">
        <w:rPr>
          <w:rFonts w:eastAsia="Verdana"/>
          <w14:ligatures w14:val="standard"/>
        </w:rPr>
        <w:t>occurrence</w:t>
      </w:r>
      <w:r w:rsidR="009949CD">
        <w:rPr>
          <w:rFonts w:eastAsia="Verdana"/>
          <w14:ligatures w14:val="standard"/>
        </w:rPr>
        <w:t xml:space="preserve"> of a debtor defaulting on their auto loan. Th</w:t>
      </w:r>
      <w:r w:rsidR="00CE3B21">
        <w:rPr>
          <w:rFonts w:eastAsia="Verdana"/>
          <w14:ligatures w14:val="standard"/>
        </w:rPr>
        <w:t>is</w:t>
      </w:r>
      <w:r w:rsidR="009949CD">
        <w:rPr>
          <w:rFonts w:eastAsia="Verdana"/>
          <w14:ligatures w14:val="standard"/>
        </w:rPr>
        <w:t xml:space="preserve"> framework and model</w:t>
      </w:r>
      <w:r w:rsidR="00CE3B21">
        <w:rPr>
          <w:rFonts w:eastAsia="Verdana"/>
          <w14:ligatures w14:val="standard"/>
        </w:rPr>
        <w:t xml:space="preserve"> will be compared with the </w:t>
      </w:r>
      <w:proofErr w:type="spellStart"/>
      <w:r w:rsidR="00CE3B21">
        <w:rPr>
          <w:rFonts w:eastAsia="Verdana"/>
          <w14:ligatures w14:val="standard"/>
        </w:rPr>
        <w:t>explainability</w:t>
      </w:r>
      <w:proofErr w:type="spellEnd"/>
      <w:r w:rsidR="00CE3B21">
        <w:rPr>
          <w:rFonts w:eastAsia="Verdana"/>
          <w14:ligatures w14:val="standard"/>
        </w:rPr>
        <w:t xml:space="preserve"> and performance of a baseline interpretable model.</w:t>
      </w:r>
    </w:p>
    <w:p w14:paraId="09D79A6A" w14:textId="2F4B8DFB" w:rsidR="009F6069" w:rsidRDefault="009F6069" w:rsidP="009949CD">
      <w:pPr>
        <w:pStyle w:val="Abstract"/>
        <w:rPr>
          <w:rFonts w:eastAsia="Verdana"/>
          <w14:ligatures w14:val="standard"/>
        </w:rPr>
      </w:pPr>
    </w:p>
    <w:p w14:paraId="2E658D3B" w14:textId="77777777" w:rsidR="009F6069" w:rsidRDefault="009F6069" w:rsidP="009F6069">
      <w:pPr>
        <w:pStyle w:val="KeyWordHead"/>
        <w:rPr>
          <w:lang w:eastAsia="it-IT"/>
          <w14:ligatures w14:val="standard"/>
        </w:rPr>
      </w:pPr>
      <w:r>
        <w:rPr>
          <w:lang w:eastAsia="it-IT"/>
          <w14:ligatures w14:val="standard"/>
        </w:rPr>
        <w:t>KEYWORDS</w:t>
      </w:r>
    </w:p>
    <w:p w14:paraId="009295E0" w14:textId="4928F7B1" w:rsidR="009F6069" w:rsidRDefault="009F6069" w:rsidP="009949CD">
      <w:pPr>
        <w:pStyle w:val="Abstract"/>
        <w:rPr>
          <w:rFonts w:eastAsia="Verdana"/>
          <w14:ligatures w14:val="standard"/>
        </w:rPr>
      </w:pPr>
      <w:r>
        <w:rPr>
          <w:rFonts w:eastAsia="Verdana"/>
          <w14:ligatures w14:val="standard"/>
        </w:rPr>
        <w:t>Consumer Finance, XAI</w:t>
      </w:r>
      <w:r w:rsidR="008F2C83">
        <w:rPr>
          <w:rFonts w:eastAsia="Verdana"/>
          <w14:ligatures w14:val="standard"/>
        </w:rPr>
        <w:t>, Credit Risk Modeling</w:t>
      </w:r>
      <w:r w:rsidR="00343245">
        <w:rPr>
          <w:rFonts w:eastAsia="Verdana"/>
          <w14:ligatures w14:val="standard"/>
        </w:rPr>
        <w:t xml:space="preserve"> </w:t>
      </w:r>
    </w:p>
    <w:p w14:paraId="7F28C13B" w14:textId="1AD9575D" w:rsidR="009949CD" w:rsidRDefault="009949CD" w:rsidP="009949CD">
      <w:pPr>
        <w:pStyle w:val="Abstract"/>
        <w:rPr>
          <w14:ligatures w14:val="standard"/>
        </w:rPr>
      </w:pPr>
    </w:p>
    <w:p w14:paraId="511569C1" w14:textId="3747F701" w:rsidR="00357596" w:rsidRDefault="009F6069" w:rsidP="00CA0912">
      <w:pPr>
        <w:pStyle w:val="AbsHead"/>
        <w:rPr>
          <w14:ligatures w14:val="standard"/>
        </w:rPr>
      </w:pPr>
      <w:r>
        <w:rPr>
          <w14:ligatures w14:val="standard"/>
        </w:rPr>
        <w:t xml:space="preserve">1. </w:t>
      </w:r>
      <w:r w:rsidR="00CA0912">
        <w:rPr>
          <w14:ligatures w14:val="standard"/>
        </w:rPr>
        <w:t>INTRODUCTION</w:t>
      </w:r>
    </w:p>
    <w:p w14:paraId="7029D0A5" w14:textId="430196CD" w:rsidR="00C44ED5" w:rsidRDefault="00357596" w:rsidP="004F3BF8">
      <w:pPr>
        <w:pStyle w:val="Abstract"/>
        <w:rPr>
          <w:rFonts w:eastAsia="Verdana"/>
        </w:rPr>
      </w:pPr>
      <w:r>
        <w:rPr>
          <w:rFonts w:eastAsia="Verdana"/>
        </w:rPr>
        <w:t xml:space="preserve">Financial institutions have a strong incentive to accurately predict whether a borrower will pay back their loan or not. This process is known as credit risk modeling. </w:t>
      </w:r>
      <w:r w:rsidR="00671965">
        <w:rPr>
          <w:rFonts w:eastAsia="Verdana"/>
        </w:rPr>
        <w:t xml:space="preserve">Traditionally, the process of assessing risk and reaching a credit decision has been largely manual, typically done through trained professionals in loan underwriting. More recently, this process has become increasingly automated through the use of </w:t>
      </w:r>
      <w:r w:rsidR="000534C8">
        <w:rPr>
          <w:rFonts w:eastAsia="Verdana"/>
        </w:rPr>
        <w:t>artificial intelligence</w:t>
      </w:r>
      <w:r w:rsidR="00671965">
        <w:rPr>
          <w:rFonts w:eastAsia="Verdana"/>
        </w:rPr>
        <w:t xml:space="preserve"> and increased access to data. There are, however, regulatory requirements in place that limit </w:t>
      </w:r>
      <w:r w:rsidR="000C49A9">
        <w:rPr>
          <w:rFonts w:eastAsia="Verdana"/>
        </w:rPr>
        <w:t xml:space="preserve">the capabilities of </w:t>
      </w:r>
      <w:r w:rsidR="000534C8">
        <w:rPr>
          <w:rFonts w:eastAsia="Verdana"/>
        </w:rPr>
        <w:t>artificial intelligence</w:t>
      </w:r>
      <w:r w:rsidR="000C49A9">
        <w:rPr>
          <w:rFonts w:eastAsia="Verdana"/>
        </w:rPr>
        <w:t xml:space="preserve">. In the U.S. in particular, there is the Fair Credit Reporting Act </w:t>
      </w:r>
      <w:r w:rsidR="00EB67B9">
        <w:rPr>
          <w:rFonts w:eastAsia="Verdana"/>
        </w:rPr>
        <w:t xml:space="preserve">(FCRA) </w:t>
      </w:r>
      <w:r w:rsidR="000C49A9">
        <w:rPr>
          <w:rFonts w:eastAsia="Verdana"/>
        </w:rPr>
        <w:t xml:space="preserve">of </w:t>
      </w:r>
      <w:r w:rsidR="00E1127E">
        <w:rPr>
          <w:rFonts w:eastAsia="Verdana"/>
        </w:rPr>
        <w:t>1970 [</w:t>
      </w:r>
      <w:r w:rsidR="008F2C83">
        <w:rPr>
          <w:rFonts w:eastAsia="Verdana"/>
        </w:rPr>
        <w:t>1</w:t>
      </w:r>
      <w:r w:rsidR="00E1127E">
        <w:rPr>
          <w:rFonts w:eastAsia="Verdana"/>
        </w:rPr>
        <w:t xml:space="preserve">] that requires that banks provide adverse action notices to consumers that are denied credit. These action notices, among other requirements, must include a specific reason as to why their credit application was denied. </w:t>
      </w:r>
      <w:r w:rsidR="000534C8">
        <w:rPr>
          <w:rFonts w:eastAsia="Verdana"/>
        </w:rPr>
        <w:t xml:space="preserve">This comes into conflict with the black-box nature of many </w:t>
      </w:r>
      <w:r w:rsidR="00C44ED5">
        <w:rPr>
          <w:rFonts w:eastAsia="Verdana"/>
        </w:rPr>
        <w:t>powerful machine learning methods such as artificial neural networks which provide no explanation for the reason why they might predict a consumer will default.</w:t>
      </w:r>
    </w:p>
    <w:p w14:paraId="3387B4FC" w14:textId="0D5A7D81" w:rsidR="00C44ED5" w:rsidRDefault="0025311B" w:rsidP="004F3BF8">
      <w:pPr>
        <w:pStyle w:val="Abstract"/>
        <w:rPr>
          <w:rFonts w:eastAsia="Verdana"/>
        </w:rPr>
      </w:pPr>
      <w:r>
        <w:rPr>
          <w:rFonts w:eastAsia="Verdana"/>
        </w:rPr>
        <w:t>Explainable artificial intelligence (XAI)</w:t>
      </w:r>
      <w:r w:rsidR="00FA06F5">
        <w:rPr>
          <w:rFonts w:eastAsia="Verdana"/>
        </w:rPr>
        <w:t xml:space="preserve"> frameworks</w:t>
      </w:r>
      <w:r>
        <w:rPr>
          <w:rFonts w:eastAsia="Verdana"/>
        </w:rPr>
        <w:t xml:space="preserve"> address this issue by providing </w:t>
      </w:r>
      <w:r w:rsidR="008F2C83">
        <w:rPr>
          <w:rFonts w:eastAsia="Verdana"/>
        </w:rPr>
        <w:t>explanations</w:t>
      </w:r>
      <w:r w:rsidR="00FA06F5">
        <w:rPr>
          <w:rFonts w:eastAsia="Verdana"/>
        </w:rPr>
        <w:t xml:space="preserve"> for</w:t>
      </w:r>
      <w:r>
        <w:rPr>
          <w:rFonts w:eastAsia="Verdana"/>
        </w:rPr>
        <w:t xml:space="preserve"> </w:t>
      </w:r>
      <w:r>
        <w:rPr>
          <w:rFonts w:eastAsia="Verdana"/>
          <w:i/>
          <w:iCs/>
        </w:rPr>
        <w:t>why</w:t>
      </w:r>
      <w:r>
        <w:rPr>
          <w:rFonts w:eastAsia="Verdana"/>
        </w:rPr>
        <w:t xml:space="preserve"> the model makes a specific prediction and/or how it makes predictions across the entire problem domain. </w:t>
      </w:r>
      <w:r w:rsidR="00EB67B9">
        <w:rPr>
          <w:rFonts w:eastAsia="Verdana"/>
        </w:rPr>
        <w:t xml:space="preserve">This work </w:t>
      </w:r>
      <w:r w:rsidR="00FA06F5">
        <w:rPr>
          <w:rFonts w:eastAsia="Verdana"/>
        </w:rPr>
        <w:t xml:space="preserve">explores two different models for predicting </w:t>
      </w:r>
      <w:r w:rsidR="008F2C83">
        <w:rPr>
          <w:rFonts w:eastAsia="Verdana"/>
        </w:rPr>
        <w:t>default in consumer automobile lending and applies an XAI framework to assess the viability of using a black-box model in compliance with FCRA.</w:t>
      </w:r>
      <w:r w:rsidR="007864E0">
        <w:rPr>
          <w:rFonts w:eastAsia="Verdana"/>
        </w:rPr>
        <w:t xml:space="preserve"> In particular, this study hopes to address </w:t>
      </w:r>
      <w:r w:rsidR="006A300B">
        <w:rPr>
          <w:rFonts w:eastAsia="Verdana"/>
        </w:rPr>
        <w:t>two</w:t>
      </w:r>
      <w:r w:rsidR="007864E0">
        <w:rPr>
          <w:rFonts w:eastAsia="Verdana"/>
        </w:rPr>
        <w:t xml:space="preserve"> key questions:</w:t>
      </w:r>
    </w:p>
    <w:p w14:paraId="13A8D090" w14:textId="5113D4B5" w:rsidR="007864E0" w:rsidRDefault="006A300B" w:rsidP="006A300B">
      <w:pPr>
        <w:pStyle w:val="Abstract"/>
        <w:numPr>
          <w:ilvl w:val="0"/>
          <w:numId w:val="35"/>
        </w:numPr>
        <w:rPr>
          <w:rFonts w:eastAsia="Verdana"/>
        </w:rPr>
      </w:pPr>
      <w:r>
        <w:rPr>
          <w:rFonts w:eastAsia="Verdana"/>
        </w:rPr>
        <w:t>Does the selected black-box model</w:t>
      </w:r>
      <w:r w:rsidR="007864E0">
        <w:rPr>
          <w:rFonts w:eastAsia="Verdana"/>
        </w:rPr>
        <w:t xml:space="preserve"> outperform logistic regression in predicting default in auto loans?</w:t>
      </w:r>
      <w:r>
        <w:rPr>
          <w:rFonts w:eastAsia="Verdana"/>
        </w:rPr>
        <w:t xml:space="preserve"> If so, is that performance increase worth the loss in interpretability?</w:t>
      </w:r>
    </w:p>
    <w:p w14:paraId="0F50E86C" w14:textId="7BA4320B" w:rsidR="006A300B" w:rsidRPr="006A300B" w:rsidRDefault="006A300B" w:rsidP="006A300B">
      <w:pPr>
        <w:pStyle w:val="Abstract"/>
        <w:numPr>
          <w:ilvl w:val="0"/>
          <w:numId w:val="35"/>
        </w:numPr>
        <w:rPr>
          <w:rFonts w:eastAsia="Verdana"/>
        </w:rPr>
      </w:pPr>
      <w:r>
        <w:rPr>
          <w:rFonts w:eastAsia="Verdana"/>
        </w:rPr>
        <w:t>Does the selected XAI framework provide suitable explanations to allow black-box models to comply with regulatory requirements?</w:t>
      </w:r>
    </w:p>
    <w:p w14:paraId="45CD7124" w14:textId="6520D5E4" w:rsidR="00A80B73" w:rsidRPr="006A300B" w:rsidRDefault="00C44ED5" w:rsidP="006A300B">
      <w:pPr>
        <w:pStyle w:val="Abstract"/>
        <w:rPr>
          <w:rFonts w:eastAsia="Verdana"/>
        </w:rPr>
      </w:pPr>
      <w:r>
        <w:rPr>
          <w:rFonts w:eastAsia="Verdana"/>
        </w:rPr>
        <w:t xml:space="preserve"> </w:t>
      </w:r>
    </w:p>
    <w:p w14:paraId="5C99E8AC" w14:textId="6A3EE7EE" w:rsidR="00CA0912" w:rsidRDefault="009F6069" w:rsidP="00CA0912">
      <w:pPr>
        <w:pStyle w:val="AbsHead"/>
        <w:rPr>
          <w14:ligatures w14:val="standard"/>
        </w:rPr>
      </w:pPr>
      <w:r>
        <w:rPr>
          <w14:ligatures w14:val="standard"/>
        </w:rPr>
        <w:t xml:space="preserve">2. </w:t>
      </w:r>
      <w:r w:rsidR="00CA0912">
        <w:rPr>
          <w14:ligatures w14:val="standard"/>
        </w:rPr>
        <w:t>BACKGROUND &amp; RELATED WORK</w:t>
      </w:r>
    </w:p>
    <w:p w14:paraId="748A411A" w14:textId="1D06CCCE" w:rsidR="00A80B73" w:rsidRDefault="00A80B73" w:rsidP="00A80B73">
      <w:pPr>
        <w:pStyle w:val="Abstract"/>
        <w:rPr>
          <w:rFonts w:eastAsia="Verdana"/>
          <w14:ligatures w14:val="standard"/>
        </w:rPr>
      </w:pPr>
      <w:r>
        <w:rPr>
          <w:rFonts w:eastAsia="Verdana"/>
          <w14:ligatures w14:val="standard"/>
        </w:rPr>
        <w:t xml:space="preserve">Predictive models, in particular logistic regression, have been </w:t>
      </w:r>
      <w:bookmarkStart w:id="0" w:name="_Hlk97795647"/>
      <w:r>
        <w:rPr>
          <w:rFonts w:eastAsia="Verdana"/>
          <w14:ligatures w14:val="standard"/>
        </w:rPr>
        <w:t xml:space="preserve">used </w:t>
      </w:r>
      <w:bookmarkStart w:id="1" w:name="_Hlk95297024"/>
      <w:r>
        <w:rPr>
          <w:rFonts w:eastAsia="Verdana"/>
          <w14:ligatures w14:val="standard"/>
        </w:rPr>
        <w:t>to model credit risk in the U.S. since the 1980s.</w:t>
      </w:r>
      <w:r w:rsidR="00BE1928">
        <w:rPr>
          <w:rFonts w:eastAsia="Verdana"/>
          <w14:ligatures w14:val="standard"/>
        </w:rPr>
        <w:t xml:space="preserve"> </w:t>
      </w:r>
      <w:r>
        <w:rPr>
          <w:rFonts w:eastAsia="Verdana"/>
          <w14:ligatures w14:val="standard"/>
        </w:rPr>
        <w:t>[2]</w:t>
      </w:r>
      <w:r w:rsidR="007F23B8">
        <w:rPr>
          <w:rFonts w:eastAsia="Verdana"/>
          <w14:ligatures w14:val="standard"/>
        </w:rPr>
        <w:t xml:space="preserve"> The mod</w:t>
      </w:r>
      <w:bookmarkEnd w:id="1"/>
      <w:r w:rsidR="007F23B8">
        <w:rPr>
          <w:rFonts w:eastAsia="Verdana"/>
          <w14:ligatures w14:val="standard"/>
        </w:rPr>
        <w:t xml:space="preserve">els used in practice for underwriting have been limited to only models inherently interpretable such as logistic regression or decision trees. Since the advent of explainable AI methods, there have been attempts to apply black-box methods with </w:t>
      </w:r>
      <w:r w:rsidR="008F2C83">
        <w:rPr>
          <w:rFonts w:eastAsia="Verdana"/>
          <w14:ligatures w14:val="standard"/>
        </w:rPr>
        <w:t xml:space="preserve">multiple </w:t>
      </w:r>
      <w:r w:rsidR="007F23B8">
        <w:rPr>
          <w:rFonts w:eastAsia="Verdana"/>
          <w14:ligatures w14:val="standard"/>
        </w:rPr>
        <w:t>explainable AI framework</w:t>
      </w:r>
      <w:r w:rsidR="009115ED">
        <w:rPr>
          <w:rFonts w:eastAsia="Verdana"/>
          <w14:ligatures w14:val="standard"/>
        </w:rPr>
        <w:t>s</w:t>
      </w:r>
      <w:r w:rsidR="007F23B8">
        <w:rPr>
          <w:rFonts w:eastAsia="Verdana"/>
          <w14:ligatures w14:val="standard"/>
        </w:rPr>
        <w:t xml:space="preserve"> to consumer loans in Malta [3]</w:t>
      </w:r>
      <w:r w:rsidR="00F82310">
        <w:rPr>
          <w:rFonts w:eastAsia="Verdana"/>
          <w14:ligatures w14:val="standard"/>
        </w:rPr>
        <w:t xml:space="preserve"> as well as on the Lending Club dataset [4], </w:t>
      </w:r>
      <w:r w:rsidR="007F23B8">
        <w:rPr>
          <w:rFonts w:eastAsia="Verdana"/>
          <w14:ligatures w14:val="standard"/>
        </w:rPr>
        <w:t>but no known efforts have been made in the U.S</w:t>
      </w:r>
      <w:bookmarkEnd w:id="0"/>
      <w:r w:rsidR="008F2C83">
        <w:rPr>
          <w:rFonts w:eastAsia="Verdana"/>
          <w14:ligatures w14:val="standard"/>
        </w:rPr>
        <w:t>.</w:t>
      </w:r>
      <w:r w:rsidR="00F82310">
        <w:rPr>
          <w:rFonts w:eastAsia="Verdana"/>
          <w14:ligatures w14:val="standard"/>
        </w:rPr>
        <w:t xml:space="preserve"> in practice.</w:t>
      </w:r>
      <w:r w:rsidR="009115ED">
        <w:rPr>
          <w:rFonts w:eastAsia="Verdana"/>
          <w14:ligatures w14:val="standard"/>
        </w:rPr>
        <w:t xml:space="preserve"> Researchers at the University of Malta found that all three of the XAI frameworks tested</w:t>
      </w:r>
      <w:r w:rsidR="00744C94">
        <w:rPr>
          <w:rFonts w:eastAsia="Verdana"/>
          <w14:ligatures w14:val="standard"/>
        </w:rPr>
        <w:t xml:space="preserve"> produced valid explanations when assessed by experts </w:t>
      </w:r>
      <w:r w:rsidR="00F82310">
        <w:rPr>
          <w:rFonts w:eastAsia="Verdana"/>
          <w14:ligatures w14:val="standard"/>
        </w:rPr>
        <w:t>in finance and other workers in the finance industry.</w:t>
      </w:r>
    </w:p>
    <w:p w14:paraId="17EFC118" w14:textId="3323FB1C" w:rsidR="00CA0912" w:rsidRDefault="00CA0912" w:rsidP="00CA0912">
      <w:pPr>
        <w:pStyle w:val="AbsHead"/>
        <w:rPr>
          <w14:ligatures w14:val="standard"/>
        </w:rPr>
      </w:pPr>
    </w:p>
    <w:p w14:paraId="7F039A75" w14:textId="217A0EFF" w:rsidR="00CA0912" w:rsidRDefault="009F6069" w:rsidP="00CA0912">
      <w:pPr>
        <w:pStyle w:val="AbsHead"/>
        <w:rPr>
          <w14:ligatures w14:val="standard"/>
        </w:rPr>
      </w:pPr>
      <w:r>
        <w:rPr>
          <w14:ligatures w14:val="standard"/>
        </w:rPr>
        <w:t xml:space="preserve">3. </w:t>
      </w:r>
      <w:r w:rsidR="00CA0912">
        <w:rPr>
          <w14:ligatures w14:val="standard"/>
        </w:rPr>
        <w:t>METHOD &amp; APPROACH</w:t>
      </w:r>
    </w:p>
    <w:p w14:paraId="7D8BAFCB" w14:textId="13835C66" w:rsidR="007F23B8" w:rsidRDefault="00AF6ABC" w:rsidP="007F23B8">
      <w:pPr>
        <w:pStyle w:val="Abstract"/>
        <w:rPr>
          <w:rFonts w:eastAsia="Verdana"/>
          <w14:ligatures w14:val="standard"/>
        </w:rPr>
      </w:pPr>
      <w:r>
        <w:rPr>
          <w:rFonts w:eastAsia="Verdana"/>
          <w14:ligatures w14:val="standard"/>
        </w:rPr>
        <w:t xml:space="preserve">Loan-level data is not normally publicly available. The </w:t>
      </w:r>
      <w:r w:rsidR="00197F7C">
        <w:rPr>
          <w:rFonts w:eastAsia="Verdana"/>
          <w14:ligatures w14:val="standard"/>
        </w:rPr>
        <w:t>exception to this</w:t>
      </w:r>
      <w:r>
        <w:rPr>
          <w:rFonts w:eastAsia="Verdana"/>
          <w14:ligatures w14:val="standard"/>
        </w:rPr>
        <w:t xml:space="preserve"> is when loans are bundled into securities and sold. This financial product is known as an asset-backed security</w:t>
      </w:r>
      <w:r w:rsidR="008866DF">
        <w:rPr>
          <w:rFonts w:eastAsia="Verdana"/>
          <w14:ligatures w14:val="standard"/>
        </w:rPr>
        <w:t>. Asset-backed securities have</w:t>
      </w:r>
      <w:r>
        <w:rPr>
          <w:rFonts w:eastAsia="Verdana"/>
          <w14:ligatures w14:val="standard"/>
        </w:rPr>
        <w:t xml:space="preserve"> public filing requirements from the </w:t>
      </w:r>
      <w:r w:rsidR="008866DF">
        <w:rPr>
          <w:rFonts w:eastAsia="Verdana"/>
          <w14:ligatures w14:val="standard"/>
        </w:rPr>
        <w:t>U.S. Securities and Exchange Commission (</w:t>
      </w:r>
      <w:r>
        <w:rPr>
          <w:rFonts w:eastAsia="Verdana"/>
          <w14:ligatures w14:val="standard"/>
        </w:rPr>
        <w:t>SEC</w:t>
      </w:r>
      <w:r w:rsidR="008866DF">
        <w:rPr>
          <w:rFonts w:eastAsia="Verdana"/>
          <w14:ligatures w14:val="standard"/>
        </w:rPr>
        <w:t>)</w:t>
      </w:r>
      <w:r>
        <w:rPr>
          <w:rFonts w:eastAsia="Verdana"/>
          <w14:ligatures w14:val="standard"/>
        </w:rPr>
        <w:t xml:space="preserve">. </w:t>
      </w:r>
      <w:r w:rsidR="007F23B8">
        <w:rPr>
          <w:rFonts w:eastAsia="Verdana"/>
          <w14:ligatures w14:val="standard"/>
        </w:rPr>
        <w:t xml:space="preserve">Data was </w:t>
      </w:r>
      <w:r>
        <w:rPr>
          <w:rFonts w:eastAsia="Verdana"/>
          <w14:ligatures w14:val="standard"/>
        </w:rPr>
        <w:t xml:space="preserve">collected from </w:t>
      </w:r>
      <w:r w:rsidR="004A3498">
        <w:rPr>
          <w:rFonts w:eastAsia="Verdana"/>
          <w14:ligatures w14:val="standard"/>
        </w:rPr>
        <w:t xml:space="preserve">these </w:t>
      </w:r>
      <w:r>
        <w:rPr>
          <w:rFonts w:eastAsia="Verdana"/>
          <w14:ligatures w14:val="standard"/>
        </w:rPr>
        <w:t>SEC filings and preprocessed for analysis</w:t>
      </w:r>
      <w:r w:rsidR="004A3498">
        <w:rPr>
          <w:rFonts w:eastAsia="Verdana"/>
          <w14:ligatures w14:val="standard"/>
        </w:rPr>
        <w:t xml:space="preserve">. </w:t>
      </w:r>
      <w:r>
        <w:rPr>
          <w:rFonts w:eastAsia="Verdana"/>
          <w14:ligatures w14:val="standard"/>
        </w:rPr>
        <w:t xml:space="preserve">This process involved scripting </w:t>
      </w:r>
      <w:r w:rsidR="00046335">
        <w:rPr>
          <w:rFonts w:eastAsia="Verdana"/>
          <w14:ligatures w14:val="standard"/>
        </w:rPr>
        <w:t>a program that downloaded all of the relevant files</w:t>
      </w:r>
      <w:r w:rsidR="004A3498">
        <w:rPr>
          <w:rFonts w:eastAsia="Verdana"/>
          <w14:ligatures w14:val="standard"/>
        </w:rPr>
        <w:t xml:space="preserve"> which </w:t>
      </w:r>
      <w:r w:rsidR="00046335">
        <w:rPr>
          <w:rFonts w:eastAsia="Verdana"/>
          <w14:ligatures w14:val="standard"/>
        </w:rPr>
        <w:t>were</w:t>
      </w:r>
      <w:r w:rsidR="004A3498">
        <w:rPr>
          <w:rFonts w:eastAsia="Verdana"/>
          <w14:ligatures w14:val="standard"/>
        </w:rPr>
        <w:t xml:space="preserve"> then</w:t>
      </w:r>
      <w:r w:rsidR="00046335">
        <w:rPr>
          <w:rFonts w:eastAsia="Verdana"/>
          <w14:ligatures w14:val="standard"/>
        </w:rPr>
        <w:t xml:space="preserve"> filtered to only automobiles and merged into a single dataset for analysis. </w:t>
      </w:r>
      <w:r w:rsidR="00EB67B9">
        <w:rPr>
          <w:rFonts w:eastAsia="Verdana"/>
          <w14:ligatures w14:val="standard"/>
        </w:rPr>
        <w:t xml:space="preserve">This singular dataset was further cleaned and transform until it consisted of </w:t>
      </w:r>
      <w:r w:rsidR="004A3498">
        <w:rPr>
          <w:rFonts w:eastAsia="Verdana"/>
          <w14:ligatures w14:val="standard"/>
        </w:rPr>
        <w:t>only numeric and indicator variables that are suitable for predictive models.</w:t>
      </w:r>
      <w:r w:rsidR="008175C0">
        <w:rPr>
          <w:rFonts w:eastAsia="Verdana"/>
          <w14:ligatures w14:val="standard"/>
        </w:rPr>
        <w:t xml:space="preserve"> The dataset was heavily imbalanced, so the majority class</w:t>
      </w:r>
      <w:r w:rsidR="008866DF">
        <w:rPr>
          <w:rFonts w:eastAsia="Verdana"/>
          <w14:ligatures w14:val="standard"/>
        </w:rPr>
        <w:t xml:space="preserve"> (loans that did not default)</w:t>
      </w:r>
      <w:r w:rsidR="008175C0">
        <w:rPr>
          <w:rFonts w:eastAsia="Verdana"/>
          <w14:ligatures w14:val="standard"/>
        </w:rPr>
        <w:t xml:space="preserve"> was down sampled to achieve equal representation of the classes.</w:t>
      </w:r>
      <w:r w:rsidR="00CE3B21">
        <w:rPr>
          <w:rFonts w:eastAsia="Verdana"/>
          <w14:ligatures w14:val="standard"/>
        </w:rPr>
        <w:t xml:space="preserve"> </w:t>
      </w:r>
    </w:p>
    <w:p w14:paraId="4FB5C6CE" w14:textId="43B4B821" w:rsidR="004A3498" w:rsidRDefault="004A3498" w:rsidP="007F23B8">
      <w:pPr>
        <w:pStyle w:val="Abstract"/>
        <w:rPr>
          <w:rFonts w:eastAsia="Verdana"/>
          <w14:ligatures w14:val="standard"/>
        </w:rPr>
      </w:pPr>
      <w:r>
        <w:rPr>
          <w:rFonts w:eastAsia="Verdana"/>
          <w14:ligatures w14:val="standard"/>
        </w:rPr>
        <w:t xml:space="preserve">Two models were selected for evaluation: logistic regression and an artificial neural network (ANN). These two models were chosen to more easily compare the change in performance from using a black box model (ANN) against a more interpretable model (logistic regression). For the neural network, a hyperparameter </w:t>
      </w:r>
      <w:r>
        <w:rPr>
          <w:rFonts w:eastAsia="Verdana"/>
          <w14:ligatures w14:val="standard"/>
        </w:rPr>
        <w:lastRenderedPageBreak/>
        <w:t>search was performed using grid search to optimize the model archi</w:t>
      </w:r>
      <w:r w:rsidR="00651556">
        <w:rPr>
          <w:rFonts w:eastAsia="Verdana"/>
          <w14:ligatures w14:val="standard"/>
        </w:rPr>
        <w:t xml:space="preserve">tecture. This was compared against a L2 regularized logistic regression model. </w:t>
      </w:r>
    </w:p>
    <w:p w14:paraId="6B8A2B2D" w14:textId="77777777" w:rsidR="00C01FC0" w:rsidRDefault="00A47E7F" w:rsidP="00367BB6">
      <w:pPr>
        <w:pStyle w:val="Abstract"/>
        <w:rPr>
          <w:rFonts w:eastAsia="Verdana"/>
          <w14:ligatures w14:val="standard"/>
        </w:rPr>
      </w:pPr>
      <w:r>
        <w:rPr>
          <w:rFonts w:eastAsia="Verdana"/>
          <w14:ligatures w14:val="standard"/>
        </w:rPr>
        <w:t xml:space="preserve">Of the state-of-the-art XAI frameworks, the most applicable to this use case was Anchors. [4] Anchors provides feature-based local explanations that are model-agnostic. This </w:t>
      </w:r>
      <w:r w:rsidR="00452E5F">
        <w:rPr>
          <w:rFonts w:eastAsia="Verdana"/>
          <w14:ligatures w14:val="standard"/>
        </w:rPr>
        <w:t>means either</w:t>
      </w:r>
      <w:r>
        <w:rPr>
          <w:rFonts w:eastAsia="Verdana"/>
          <w14:ligatures w14:val="standard"/>
        </w:rPr>
        <w:t xml:space="preserve"> method of modeling </w:t>
      </w:r>
      <w:r w:rsidR="00452E5F">
        <w:rPr>
          <w:rFonts w:eastAsia="Verdana"/>
          <w14:ligatures w14:val="standard"/>
        </w:rPr>
        <w:t>can</w:t>
      </w:r>
      <w:r>
        <w:rPr>
          <w:rFonts w:eastAsia="Verdana"/>
          <w14:ligatures w14:val="standard"/>
        </w:rPr>
        <w:t xml:space="preserve"> be explained at the per-loan level, which</w:t>
      </w:r>
      <w:r w:rsidR="00BF3AEE">
        <w:rPr>
          <w:rFonts w:eastAsia="Verdana"/>
          <w14:ligatures w14:val="standard"/>
        </w:rPr>
        <w:t xml:space="preserve"> allows for a detailed adverse action notice in the event of a predicted credit default. These explanations take the form of </w:t>
      </w:r>
      <w:r w:rsidR="00F82310">
        <w:rPr>
          <w:rFonts w:eastAsia="Verdana"/>
          <w14:ligatures w14:val="standard"/>
        </w:rPr>
        <w:t>a set of one or more conditional statements that result in a probability of default that exceeds</w:t>
      </w:r>
      <w:r w:rsidR="000914E0">
        <w:rPr>
          <w:rFonts w:eastAsia="Verdana"/>
          <w14:ligatures w14:val="standard"/>
        </w:rPr>
        <w:t xml:space="preserve"> a pre-defined threshold. In this case, the threshold is set to 95%. Of the possible conditions that meet this requirement, anchors will select the condition that has the fewest number of conditions as well as the largest </w:t>
      </w:r>
      <w:r w:rsidR="000914E0">
        <w:rPr>
          <w:rFonts w:eastAsia="Verdana"/>
          <w:i/>
          <w:iCs/>
          <w14:ligatures w14:val="standard"/>
        </w:rPr>
        <w:t>coverage.</w:t>
      </w:r>
      <w:r w:rsidR="000914E0">
        <w:rPr>
          <w:rFonts w:eastAsia="Verdana"/>
          <w14:ligatures w14:val="standard"/>
        </w:rPr>
        <w:t xml:space="preserve"> Coverage is d</w:t>
      </w:r>
      <w:r w:rsidR="00367BB6">
        <w:rPr>
          <w:rFonts w:eastAsia="Verdana"/>
          <w14:ligatures w14:val="standard"/>
        </w:rPr>
        <w:t>efined as the probability that the same condition applies to other samples from the data, which allows a human to better understand how well th</w:t>
      </w:r>
      <w:r w:rsidR="00C959EA">
        <w:rPr>
          <w:rFonts w:eastAsia="Verdana"/>
          <w14:ligatures w14:val="standard"/>
        </w:rPr>
        <w:t>e</w:t>
      </w:r>
      <w:r w:rsidR="00E27DB2">
        <w:rPr>
          <w:rFonts w:eastAsia="Verdana"/>
          <w14:ligatures w14:val="standard"/>
        </w:rPr>
        <w:t xml:space="preserve"> sufficient</w:t>
      </w:r>
      <w:r w:rsidR="00C959EA">
        <w:rPr>
          <w:rFonts w:eastAsia="Verdana"/>
          <w14:ligatures w14:val="standard"/>
        </w:rPr>
        <w:t xml:space="preserve"> conditions </w:t>
      </w:r>
      <w:r w:rsidR="00367BB6">
        <w:rPr>
          <w:rFonts w:eastAsia="Verdana"/>
          <w14:ligatures w14:val="standard"/>
        </w:rPr>
        <w:t>can be generalized to other data points.</w:t>
      </w:r>
    </w:p>
    <w:p w14:paraId="5AA79A61" w14:textId="29357AA3" w:rsidR="007864E0" w:rsidRDefault="00C01FC0" w:rsidP="00367BB6">
      <w:pPr>
        <w:pStyle w:val="Abstract"/>
        <w:rPr>
          <w:rFonts w:eastAsia="Verdana"/>
          <w14:ligatures w14:val="standard"/>
        </w:rPr>
      </w:pPr>
      <w:r>
        <w:rPr>
          <w:rFonts w:eastAsia="Verdana"/>
          <w14:ligatures w14:val="standard"/>
        </w:rPr>
        <w:t>I</w:t>
      </w:r>
      <w:r w:rsidR="00452E5F">
        <w:rPr>
          <w:rFonts w:eastAsia="Verdana"/>
          <w14:ligatures w14:val="standard"/>
        </w:rPr>
        <w:t xml:space="preserve">n the case of logistic regression, the </w:t>
      </w:r>
      <w:r>
        <w:rPr>
          <w:rFonts w:eastAsia="Verdana"/>
          <w14:ligatures w14:val="standard"/>
        </w:rPr>
        <w:t>anchors explanations are compared with the log-</w:t>
      </w:r>
      <w:r w:rsidR="004A20B7">
        <w:rPr>
          <w:rFonts w:eastAsia="Verdana"/>
          <w14:ligatures w14:val="standard"/>
        </w:rPr>
        <w:t>odds</w:t>
      </w:r>
      <w:r>
        <w:rPr>
          <w:rFonts w:eastAsia="Verdana"/>
          <w14:ligatures w14:val="standard"/>
        </w:rPr>
        <w:t xml:space="preserve"> of the coefficients to determine if the two explanations are in alignment. If there is a difference between these two explanations, it is indicative that there may be an issue with one of the interpretations.</w:t>
      </w:r>
      <w:r w:rsidR="004A20B7">
        <w:rPr>
          <w:rFonts w:eastAsia="Verdana"/>
          <w14:ligatures w14:val="standard"/>
        </w:rPr>
        <w:t xml:space="preserve"> This comparison </w:t>
      </w:r>
      <w:r w:rsidR="00647107">
        <w:rPr>
          <w:rFonts w:eastAsia="Verdana"/>
          <w14:ligatures w14:val="standard"/>
        </w:rPr>
        <w:t>was</w:t>
      </w:r>
      <w:r w:rsidR="004A20B7">
        <w:rPr>
          <w:rFonts w:eastAsia="Verdana"/>
          <w14:ligatures w14:val="standard"/>
        </w:rPr>
        <w:t xml:space="preserve"> made through visual inspection of explanation</w:t>
      </w:r>
      <w:r w:rsidR="00647107">
        <w:rPr>
          <w:rFonts w:eastAsia="Verdana"/>
          <w14:ligatures w14:val="standard"/>
        </w:rPr>
        <w:t>s.</w:t>
      </w:r>
    </w:p>
    <w:p w14:paraId="2573D4DA" w14:textId="77777777" w:rsidR="00367BB6" w:rsidRPr="00367BB6" w:rsidRDefault="00367BB6" w:rsidP="00367BB6">
      <w:pPr>
        <w:pStyle w:val="Abstract"/>
        <w:rPr>
          <w:rFonts w:eastAsia="Verdana"/>
          <w14:ligatures w14:val="standard"/>
        </w:rPr>
      </w:pPr>
    </w:p>
    <w:p w14:paraId="2BB791C7" w14:textId="7BE0F36C" w:rsidR="00CA0912" w:rsidRDefault="009F6069" w:rsidP="00CA0912">
      <w:pPr>
        <w:pStyle w:val="AbsHead"/>
        <w:rPr>
          <w14:ligatures w14:val="standard"/>
        </w:rPr>
      </w:pPr>
      <w:r>
        <w:rPr>
          <w14:ligatures w14:val="standard"/>
        </w:rPr>
        <w:t xml:space="preserve">4. </w:t>
      </w:r>
      <w:r w:rsidR="00CA0912">
        <w:rPr>
          <w14:ligatures w14:val="standard"/>
        </w:rPr>
        <w:t>EXPERIMENT DETAILS &amp; RESULTS</w:t>
      </w:r>
    </w:p>
    <w:p w14:paraId="7FE77D2D" w14:textId="618B08D8" w:rsidR="00455C71" w:rsidRPr="004A20B7" w:rsidRDefault="004A20B7" w:rsidP="004A20B7">
      <w:pPr>
        <w:pStyle w:val="Head2"/>
      </w:pPr>
      <w:r>
        <w:t xml:space="preserve">4.1 </w:t>
      </w:r>
      <w:r w:rsidR="00FD68B1">
        <w:t>LOGISTIC REGRESSION</w:t>
      </w:r>
    </w:p>
    <w:p w14:paraId="61985FE7" w14:textId="11429E7F" w:rsidR="00906895" w:rsidRPr="00C959EA" w:rsidRDefault="00C959EA" w:rsidP="00C959EA">
      <w:pPr>
        <w:pStyle w:val="Abstract"/>
        <w:rPr>
          <w:rFonts w:eastAsia="Verdana"/>
        </w:rPr>
      </w:pPr>
      <w:r>
        <w:rPr>
          <w:rFonts w:eastAsia="Verdana"/>
        </w:rPr>
        <w:br/>
      </w:r>
      <w:r w:rsidR="008175C0">
        <w:rPr>
          <w:rFonts w:eastAsia="Verdana"/>
        </w:rPr>
        <w:t xml:space="preserve">The L2 regularized logistic regression model </w:t>
      </w:r>
      <w:r w:rsidR="00C171A7">
        <w:rPr>
          <w:rFonts w:eastAsia="Verdana"/>
        </w:rPr>
        <w:t>predicted default accurately in 83.9% of cases</w:t>
      </w:r>
      <w:r w:rsidR="00906895">
        <w:rPr>
          <w:rFonts w:eastAsia="Verdana"/>
        </w:rPr>
        <w:t>. It maintained relatively equal false positive and false negative rates with a precision of 87% and a recall of 84%.</w:t>
      </w:r>
      <w:r w:rsidR="00C60194">
        <w:rPr>
          <w:rFonts w:eastAsia="Verdana"/>
        </w:rPr>
        <w:t xml:space="preserve"> Figure 1 details the confusion matrix for the predictions made on the test set and Figure 2 shows the receiver operator characteristic (ROC) curve. </w:t>
      </w:r>
      <w:r w:rsidR="00E85A65">
        <w:rPr>
          <w:rFonts w:eastAsia="Verdana"/>
        </w:rPr>
        <w:t>The total area under the</w:t>
      </w:r>
      <w:r w:rsidR="00323F6F">
        <w:rPr>
          <w:rFonts w:eastAsia="Verdana"/>
        </w:rPr>
        <w:t xml:space="preserve"> ROC</w:t>
      </w:r>
      <w:r w:rsidR="00E85A65">
        <w:rPr>
          <w:rFonts w:eastAsia="Verdana"/>
        </w:rPr>
        <w:t xml:space="preserve"> curve was 0.8</w:t>
      </w:r>
      <w:r w:rsidR="00E85A65">
        <w:rPr>
          <w:rFonts w:eastAsia="Verdana"/>
        </w:rPr>
        <w:t>4</w:t>
      </w:r>
      <w:r w:rsidR="00E85A65">
        <w:rPr>
          <w:rFonts w:eastAsia="Verdana"/>
        </w:rPr>
        <w:t>.</w:t>
      </w:r>
    </w:p>
    <w:p w14:paraId="49A94025" w14:textId="0A07636A" w:rsidR="00C959EA" w:rsidRDefault="00C959EA" w:rsidP="00CA0912">
      <w:pPr>
        <w:pStyle w:val="AbsHead"/>
        <w:rPr>
          <w14:ligatures w14:val="standard"/>
        </w:rPr>
      </w:pPr>
    </w:p>
    <w:p w14:paraId="1BAD424F" w14:textId="77777777" w:rsidR="00C959EA" w:rsidRDefault="00C959EA" w:rsidP="00C959EA">
      <w:pPr>
        <w:pStyle w:val="AbsHead"/>
        <w:rPr>
          <w14:ligatures w14:val="standard"/>
        </w:rPr>
      </w:pPr>
      <w:r w:rsidRPr="00434CB2">
        <w:rPr>
          <w:b w:val="0"/>
          <w:noProof/>
        </w:rPr>
        <w:drawing>
          <wp:inline distT="0" distB="0" distL="0" distR="0" wp14:anchorId="06AA66CA" wp14:editId="52360270">
            <wp:extent cx="3048000" cy="2081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081530"/>
                    </a:xfrm>
                    <a:prstGeom prst="rect">
                      <a:avLst/>
                    </a:prstGeom>
                    <a:noFill/>
                    <a:ln>
                      <a:noFill/>
                    </a:ln>
                  </pic:spPr>
                </pic:pic>
              </a:graphicData>
            </a:graphic>
          </wp:inline>
        </w:drawing>
      </w:r>
    </w:p>
    <w:p w14:paraId="60D59542" w14:textId="77777777" w:rsidR="00C959EA" w:rsidRDefault="00C959EA" w:rsidP="00C959EA">
      <w:pPr>
        <w:pStyle w:val="FigureCaption"/>
      </w:pPr>
      <w:r>
        <w:t>Figure 1: Logistic Regression Confusion Matrix</w:t>
      </w:r>
    </w:p>
    <w:p w14:paraId="7CCBE688" w14:textId="77777777" w:rsidR="00C959EA" w:rsidRDefault="00C959EA" w:rsidP="00C959EA">
      <w:pPr>
        <w:pStyle w:val="FigureCaption"/>
      </w:pPr>
      <w:r>
        <w:rPr>
          <w:b w:val="0"/>
          <w:noProof/>
        </w:rPr>
        <w:drawing>
          <wp:inline distT="0" distB="0" distL="0" distR="0" wp14:anchorId="7D085F38" wp14:editId="4539F40F">
            <wp:extent cx="3048000" cy="2068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068830"/>
                    </a:xfrm>
                    <a:prstGeom prst="rect">
                      <a:avLst/>
                    </a:prstGeom>
                    <a:noFill/>
                    <a:ln>
                      <a:noFill/>
                    </a:ln>
                  </pic:spPr>
                </pic:pic>
              </a:graphicData>
            </a:graphic>
          </wp:inline>
        </w:drawing>
      </w:r>
    </w:p>
    <w:p w14:paraId="3557DC47" w14:textId="77777777" w:rsidR="00C959EA" w:rsidRDefault="00C959EA" w:rsidP="00C959EA">
      <w:pPr>
        <w:pStyle w:val="FigureCaption"/>
      </w:pPr>
      <w:r>
        <w:t>Figure 2: Logistic Regression ROC Curve</w:t>
      </w:r>
    </w:p>
    <w:p w14:paraId="3A343E98" w14:textId="1A81B585" w:rsidR="002D66F1" w:rsidRDefault="00E27DB2" w:rsidP="00312ED0">
      <w:pPr>
        <w:pStyle w:val="Abstract"/>
        <w:pBdr>
          <w:bottom w:val="single" w:sz="12" w:space="1" w:color="auto"/>
        </w:pBdr>
        <w:rPr>
          <w:rFonts w:eastAsia="Verdana"/>
        </w:rPr>
      </w:pPr>
      <w:r>
        <w:rPr>
          <w:rFonts w:eastAsia="Verdana"/>
        </w:rPr>
        <w:t xml:space="preserve">A </w:t>
      </w:r>
      <w:r w:rsidR="00D92217">
        <w:rPr>
          <w:rFonts w:eastAsia="Verdana"/>
        </w:rPr>
        <w:t xml:space="preserve">vast </w:t>
      </w:r>
      <w:r>
        <w:rPr>
          <w:rFonts w:eastAsia="Verdana"/>
        </w:rPr>
        <w:t>majority of the</w:t>
      </w:r>
      <w:r w:rsidR="00906895">
        <w:rPr>
          <w:rFonts w:eastAsia="Verdana"/>
        </w:rPr>
        <w:t xml:space="preserve"> explanations given by anchors for the logistic regression predictions </w:t>
      </w:r>
      <w:r w:rsidR="00D92217">
        <w:rPr>
          <w:rFonts w:eastAsia="Verdana"/>
        </w:rPr>
        <w:t>include interest rate as a primary factor for predicting probability of default. Figure 3 highlights two explanations</w:t>
      </w:r>
      <w:r w:rsidR="00455C71">
        <w:rPr>
          <w:rFonts w:eastAsia="Verdana"/>
        </w:rPr>
        <w:t>, it shows that high interest rates, low credit scores, and a lack of income verification explains the prediction of defaulted with 99% precision. For the second explanation, the very low interest rate alone is enough to provide a sufficient condition.</w:t>
      </w:r>
    </w:p>
    <w:p w14:paraId="089AE0CF" w14:textId="77777777" w:rsidR="002D66F1" w:rsidRDefault="002D66F1" w:rsidP="00312ED0">
      <w:pPr>
        <w:pStyle w:val="Abstract"/>
        <w:pBdr>
          <w:bottom w:val="single" w:sz="12" w:space="1" w:color="auto"/>
        </w:pBdr>
        <w:rPr>
          <w:rFonts w:eastAsia="Verdana"/>
        </w:rPr>
      </w:pPr>
    </w:p>
    <w:p w14:paraId="49FBC57F" w14:textId="059A9F39" w:rsidR="007E045E" w:rsidRPr="007E045E" w:rsidRDefault="007E045E" w:rsidP="007E045E">
      <w:pPr>
        <w:pStyle w:val="Abstract"/>
        <w:rPr>
          <w:rFonts w:eastAsia="Verdana"/>
        </w:rPr>
      </w:pPr>
      <w:r w:rsidRPr="007E045E">
        <w:rPr>
          <w:rFonts w:eastAsia="Verdana"/>
        </w:rPr>
        <w:t>Logistic Regression Prediction:  Defaulted</w:t>
      </w:r>
    </w:p>
    <w:p w14:paraId="5AD46470" w14:textId="77777777" w:rsidR="007E045E" w:rsidRPr="007E045E" w:rsidRDefault="007E045E" w:rsidP="007E045E">
      <w:pPr>
        <w:pStyle w:val="Abstract"/>
        <w:rPr>
          <w:rFonts w:eastAsia="Verdana"/>
        </w:rPr>
      </w:pPr>
      <w:r w:rsidRPr="007E045E">
        <w:rPr>
          <w:rFonts w:eastAsia="Verdana"/>
        </w:rPr>
        <w:t xml:space="preserve">Anchor: </w:t>
      </w:r>
      <w:proofErr w:type="spellStart"/>
      <w:r w:rsidRPr="007E045E">
        <w:rPr>
          <w:rFonts w:eastAsia="Verdana"/>
        </w:rPr>
        <w:t>interestRate</w:t>
      </w:r>
      <w:proofErr w:type="spellEnd"/>
      <w:r w:rsidRPr="007E045E">
        <w:rPr>
          <w:rFonts w:eastAsia="Verdana"/>
        </w:rPr>
        <w:t xml:space="preserve"> &gt; 0.51 AND </w:t>
      </w:r>
      <w:proofErr w:type="spellStart"/>
      <w:r w:rsidRPr="007E045E">
        <w:rPr>
          <w:rFonts w:eastAsia="Verdana"/>
        </w:rPr>
        <w:t>creditScore</w:t>
      </w:r>
      <w:proofErr w:type="spellEnd"/>
      <w:r w:rsidRPr="007E045E">
        <w:rPr>
          <w:rFonts w:eastAsia="Verdana"/>
        </w:rPr>
        <w:t xml:space="preserve"> &lt;= 0.07 AND </w:t>
      </w:r>
      <w:proofErr w:type="spellStart"/>
      <w:r w:rsidRPr="007E045E">
        <w:rPr>
          <w:rFonts w:eastAsia="Verdana"/>
        </w:rPr>
        <w:t>incomeVerifiedIndicator</w:t>
      </w:r>
      <w:proofErr w:type="spellEnd"/>
      <w:r w:rsidRPr="007E045E">
        <w:rPr>
          <w:rFonts w:eastAsia="Verdana"/>
        </w:rPr>
        <w:t xml:space="preserve"> = -1</w:t>
      </w:r>
    </w:p>
    <w:p w14:paraId="211E0B95" w14:textId="77777777" w:rsidR="007E045E" w:rsidRPr="007E045E" w:rsidRDefault="007E045E" w:rsidP="007E045E">
      <w:pPr>
        <w:pStyle w:val="Abstract"/>
        <w:rPr>
          <w:rFonts w:eastAsia="Verdana"/>
        </w:rPr>
      </w:pPr>
      <w:r w:rsidRPr="007E045E">
        <w:rPr>
          <w:rFonts w:eastAsia="Verdana"/>
        </w:rPr>
        <w:t>Precision: 0.99</w:t>
      </w:r>
    </w:p>
    <w:p w14:paraId="274A632A" w14:textId="17DB10EC" w:rsidR="007E045E" w:rsidRPr="007E045E" w:rsidRDefault="007E045E" w:rsidP="007E045E">
      <w:pPr>
        <w:pStyle w:val="Abstract"/>
        <w:pBdr>
          <w:bottom w:val="single" w:sz="12" w:space="1" w:color="auto"/>
        </w:pBdr>
        <w:rPr>
          <w:rFonts w:eastAsia="Verdana"/>
        </w:rPr>
      </w:pPr>
      <w:r w:rsidRPr="007E045E">
        <w:rPr>
          <w:rFonts w:eastAsia="Verdana"/>
        </w:rPr>
        <w:t>Coverage: 0.35</w:t>
      </w:r>
    </w:p>
    <w:p w14:paraId="12600326" w14:textId="48B7C419" w:rsidR="007E045E" w:rsidRPr="007E045E" w:rsidRDefault="007E045E" w:rsidP="007E045E">
      <w:pPr>
        <w:pStyle w:val="Abstract"/>
        <w:rPr>
          <w:rFonts w:eastAsia="Verdana"/>
        </w:rPr>
      </w:pPr>
      <w:r w:rsidRPr="007E045E">
        <w:rPr>
          <w:rFonts w:eastAsia="Verdana"/>
        </w:rPr>
        <w:t>Logistic Regression Prediction:  Not Defaulted</w:t>
      </w:r>
    </w:p>
    <w:p w14:paraId="08658D38" w14:textId="77777777" w:rsidR="007E045E" w:rsidRPr="007E045E" w:rsidRDefault="007E045E" w:rsidP="007E045E">
      <w:pPr>
        <w:pStyle w:val="Abstract"/>
        <w:rPr>
          <w:rFonts w:eastAsia="Verdana"/>
        </w:rPr>
      </w:pPr>
      <w:r w:rsidRPr="007E045E">
        <w:rPr>
          <w:rFonts w:eastAsia="Verdana"/>
        </w:rPr>
        <w:t xml:space="preserve">Anchor: </w:t>
      </w:r>
      <w:proofErr w:type="spellStart"/>
      <w:r w:rsidRPr="007E045E">
        <w:rPr>
          <w:rFonts w:eastAsia="Verdana"/>
        </w:rPr>
        <w:t>interestRate</w:t>
      </w:r>
      <w:proofErr w:type="spellEnd"/>
      <w:r w:rsidRPr="007E045E">
        <w:rPr>
          <w:rFonts w:eastAsia="Verdana"/>
        </w:rPr>
        <w:t xml:space="preserve"> &lt;= 0.18</w:t>
      </w:r>
    </w:p>
    <w:p w14:paraId="3AE74A9A" w14:textId="77777777" w:rsidR="007E045E" w:rsidRPr="007E045E" w:rsidRDefault="007E045E" w:rsidP="007E045E">
      <w:pPr>
        <w:pStyle w:val="Abstract"/>
        <w:rPr>
          <w:rFonts w:eastAsia="Verdana"/>
        </w:rPr>
      </w:pPr>
      <w:r w:rsidRPr="007E045E">
        <w:rPr>
          <w:rFonts w:eastAsia="Verdana"/>
        </w:rPr>
        <w:t>Precision: 1.00</w:t>
      </w:r>
    </w:p>
    <w:p w14:paraId="442D612D" w14:textId="1BF5D2CB" w:rsidR="007E045E" w:rsidRPr="002D66F1" w:rsidRDefault="007E045E" w:rsidP="007E045E">
      <w:pPr>
        <w:pStyle w:val="Abstract"/>
        <w:rPr>
          <w:rFonts w:eastAsia="Verdana"/>
        </w:rPr>
      </w:pPr>
      <w:r w:rsidRPr="007E045E">
        <w:rPr>
          <w:rFonts w:eastAsia="Verdana"/>
        </w:rPr>
        <w:t>Coverage: 0.25</w:t>
      </w:r>
    </w:p>
    <w:p w14:paraId="62D89AB6" w14:textId="2AB423F1" w:rsidR="004A20B7" w:rsidRDefault="002D66F1" w:rsidP="004A20B7">
      <w:pPr>
        <w:pStyle w:val="FigureCaption"/>
      </w:pPr>
      <w:r>
        <w:t xml:space="preserve">Figure 3: </w:t>
      </w:r>
      <w:r>
        <w:t>Two Anchor Explanations Logistic Regression</w:t>
      </w:r>
    </w:p>
    <w:p w14:paraId="1A28886B" w14:textId="78FD62A4" w:rsidR="002D66F1" w:rsidRDefault="004A20B7" w:rsidP="003E3E8B">
      <w:pPr>
        <w:pStyle w:val="Abstract"/>
        <w:rPr>
          <w:rFonts w:eastAsia="Verdana"/>
        </w:rPr>
      </w:pPr>
      <w:r>
        <w:rPr>
          <w:rFonts w:eastAsia="Verdana"/>
        </w:rPr>
        <w:t>It should be noted that all of these values are normalized using min-max normalization, so “</w:t>
      </w:r>
      <w:proofErr w:type="spellStart"/>
      <w:r>
        <w:rPr>
          <w:rFonts w:eastAsia="Verdana"/>
        </w:rPr>
        <w:t>interestRate</w:t>
      </w:r>
      <w:proofErr w:type="spellEnd"/>
      <w:r>
        <w:rPr>
          <w:rFonts w:eastAsia="Verdana"/>
        </w:rPr>
        <w:t xml:space="preserve"> &gt; 0.51” should be interpreted as the min max normalized interest rate is greater than 51% between the minimum and maximum observed value</w:t>
      </w:r>
      <w:r w:rsidR="00DE0F78">
        <w:rPr>
          <w:rFonts w:eastAsia="Verdana"/>
        </w:rPr>
        <w:t>s</w:t>
      </w:r>
      <w:r>
        <w:rPr>
          <w:rFonts w:eastAsia="Verdana"/>
        </w:rPr>
        <w:t>.</w:t>
      </w:r>
    </w:p>
    <w:p w14:paraId="13CA0F8E" w14:textId="3C6745C4" w:rsidR="00111607" w:rsidRDefault="00111607" w:rsidP="003E3E8B">
      <w:pPr>
        <w:pStyle w:val="Abstract"/>
        <w:rPr>
          <w:rFonts w:eastAsia="Verdana"/>
        </w:rPr>
      </w:pPr>
      <w:r>
        <w:rPr>
          <w:rFonts w:eastAsia="Verdana"/>
        </w:rPr>
        <w:t xml:space="preserve">Comparing the majority of interest rate explanations to the logistic regression coefficient for interest rate found two opposite explanations. The coefficient for interest rate found by logistic regression was -5.83, which implies an inverse relationship between interest rate and default likelihood. </w:t>
      </w:r>
      <w:r w:rsidRPr="00111607">
        <w:rPr>
          <w:rFonts w:eastAsia="Verdana"/>
        </w:rPr>
        <w:t>This is counter-</w:t>
      </w:r>
      <w:r w:rsidRPr="00111607">
        <w:rPr>
          <w:rFonts w:eastAsia="Verdana"/>
        </w:rPr>
        <w:lastRenderedPageBreak/>
        <w:t>intuitive to a conceptual understanding of high interest rates reflecting high risk, and thus high likelihood of default.</w:t>
      </w:r>
      <w:r>
        <w:rPr>
          <w:rFonts w:eastAsia="Verdana"/>
        </w:rPr>
        <w:t xml:space="preserve"> </w:t>
      </w:r>
    </w:p>
    <w:p w14:paraId="10A7A6E1" w14:textId="6910722C" w:rsidR="004A20B7" w:rsidRPr="004A20B7" w:rsidRDefault="004A20B7" w:rsidP="004A20B7">
      <w:pPr>
        <w:pStyle w:val="Head2"/>
      </w:pPr>
      <w:r>
        <w:t>4.</w:t>
      </w:r>
      <w:r>
        <w:t>2</w:t>
      </w:r>
      <w:r>
        <w:t xml:space="preserve"> </w:t>
      </w:r>
      <w:r w:rsidR="00FD68B1">
        <w:t>ARTIFICIAL NEURAL NETWORK</w:t>
      </w:r>
    </w:p>
    <w:p w14:paraId="41FEB209" w14:textId="5AB99C86" w:rsidR="00DF6224" w:rsidRPr="00E85A65" w:rsidRDefault="00D07B73" w:rsidP="00E85A65">
      <w:pPr>
        <w:pStyle w:val="Abstract"/>
        <w:rPr>
          <w:rFonts w:eastAsia="Verdana"/>
        </w:rPr>
      </w:pPr>
      <w:r>
        <w:rPr>
          <w:rFonts w:eastAsia="Verdana"/>
        </w:rPr>
        <w:t xml:space="preserve">The </w:t>
      </w:r>
      <w:r>
        <w:rPr>
          <w:rFonts w:eastAsia="Verdana"/>
        </w:rPr>
        <w:t>selected architecture for the neural network was a multi-layer perceptron with 2 hidden layers containing 75 and 50 nodes respectively. The first hidden layer’s activation function was sigmoid, and the second was the rectified linear unit (</w:t>
      </w:r>
      <w:proofErr w:type="spellStart"/>
      <w:r>
        <w:rPr>
          <w:rFonts w:eastAsia="Verdana"/>
        </w:rPr>
        <w:t>ReLU</w:t>
      </w:r>
      <w:proofErr w:type="spellEnd"/>
      <w:r>
        <w:rPr>
          <w:rFonts w:eastAsia="Verdana"/>
        </w:rPr>
        <w:t xml:space="preserve">). The </w:t>
      </w:r>
      <w:r>
        <w:rPr>
          <w:rFonts w:eastAsia="Verdana"/>
        </w:rPr>
        <w:t xml:space="preserve">model predicted default accurately in </w:t>
      </w:r>
      <w:r>
        <w:rPr>
          <w:rFonts w:eastAsia="Verdana"/>
        </w:rPr>
        <w:t>80.6</w:t>
      </w:r>
      <w:r>
        <w:rPr>
          <w:rFonts w:eastAsia="Verdana"/>
        </w:rPr>
        <w:t>% of cases</w:t>
      </w:r>
      <w:r>
        <w:rPr>
          <w:rFonts w:eastAsia="Verdana"/>
        </w:rPr>
        <w:t xml:space="preserve"> while</w:t>
      </w:r>
      <w:r>
        <w:rPr>
          <w:rFonts w:eastAsia="Verdana"/>
        </w:rPr>
        <w:t xml:space="preserve"> </w:t>
      </w:r>
      <w:r>
        <w:rPr>
          <w:rFonts w:eastAsia="Verdana"/>
        </w:rPr>
        <w:t>preferring</w:t>
      </w:r>
      <w:r>
        <w:rPr>
          <w:rFonts w:eastAsia="Verdana"/>
        </w:rPr>
        <w:t xml:space="preserve"> </w:t>
      </w:r>
      <w:r w:rsidR="00E85A65">
        <w:rPr>
          <w:rFonts w:eastAsia="Verdana"/>
        </w:rPr>
        <w:t xml:space="preserve">to minimize </w:t>
      </w:r>
      <w:r>
        <w:rPr>
          <w:rFonts w:eastAsia="Verdana"/>
        </w:rPr>
        <w:t>false positive</w:t>
      </w:r>
      <w:r w:rsidR="00E85A65">
        <w:rPr>
          <w:rFonts w:eastAsia="Verdana"/>
        </w:rPr>
        <w:t>s</w:t>
      </w:r>
      <w:r>
        <w:rPr>
          <w:rFonts w:eastAsia="Verdana"/>
        </w:rPr>
        <w:t xml:space="preserve"> </w:t>
      </w:r>
      <w:r w:rsidR="00E85A65">
        <w:rPr>
          <w:rFonts w:eastAsia="Verdana"/>
        </w:rPr>
        <w:t>over</w:t>
      </w:r>
      <w:r>
        <w:rPr>
          <w:rFonts w:eastAsia="Verdana"/>
        </w:rPr>
        <w:t xml:space="preserve"> false negative rates with a precision of </w:t>
      </w:r>
      <w:r w:rsidR="00E85A65">
        <w:rPr>
          <w:rFonts w:eastAsia="Verdana"/>
        </w:rPr>
        <w:t>94</w:t>
      </w:r>
      <w:r>
        <w:rPr>
          <w:rFonts w:eastAsia="Verdana"/>
        </w:rPr>
        <w:t xml:space="preserve">% and a recall of </w:t>
      </w:r>
      <w:r w:rsidR="00E85A65">
        <w:rPr>
          <w:rFonts w:eastAsia="Verdana"/>
        </w:rPr>
        <w:t>66</w:t>
      </w:r>
      <w:r>
        <w:rPr>
          <w:rFonts w:eastAsia="Verdana"/>
        </w:rPr>
        <w:t xml:space="preserve">%. Figure </w:t>
      </w:r>
      <w:r w:rsidR="00E85A65">
        <w:rPr>
          <w:rFonts w:eastAsia="Verdana"/>
        </w:rPr>
        <w:t>4</w:t>
      </w:r>
      <w:r>
        <w:rPr>
          <w:rFonts w:eastAsia="Verdana"/>
        </w:rPr>
        <w:t xml:space="preserve"> details the confusion matrix for the predictions made on the test set and Figure </w:t>
      </w:r>
      <w:r w:rsidR="00E85A65">
        <w:rPr>
          <w:rFonts w:eastAsia="Verdana"/>
        </w:rPr>
        <w:t>5</w:t>
      </w:r>
      <w:r>
        <w:rPr>
          <w:rFonts w:eastAsia="Verdana"/>
        </w:rPr>
        <w:t xml:space="preserve"> shows the receiver operator characteristic (ROC) curve. </w:t>
      </w:r>
      <w:r w:rsidR="00E85A65">
        <w:rPr>
          <w:rFonts w:eastAsia="Verdana"/>
        </w:rPr>
        <w:t xml:space="preserve">The total area under the </w:t>
      </w:r>
      <w:r w:rsidR="00323F6F">
        <w:rPr>
          <w:rFonts w:eastAsia="Verdana"/>
        </w:rPr>
        <w:t xml:space="preserve">ROC </w:t>
      </w:r>
      <w:r w:rsidR="00E85A65">
        <w:rPr>
          <w:rFonts w:eastAsia="Verdana"/>
        </w:rPr>
        <w:t>curve was 0.80.</w:t>
      </w:r>
    </w:p>
    <w:p w14:paraId="2C2621D0" w14:textId="41A04EF7" w:rsidR="00197F7C" w:rsidRDefault="00434CB2" w:rsidP="00CA0912">
      <w:pPr>
        <w:pStyle w:val="AbsHead"/>
        <w:rPr>
          <w14:ligatures w14:val="standard"/>
        </w:rPr>
      </w:pPr>
      <w:r w:rsidRPr="00434CB2">
        <w:rPr>
          <w:b w:val="0"/>
          <w:noProof/>
        </w:rPr>
        <w:drawing>
          <wp:inline distT="0" distB="0" distL="0" distR="0" wp14:anchorId="34A9FC92" wp14:editId="44C06980">
            <wp:extent cx="3048000" cy="2058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058035"/>
                    </a:xfrm>
                    <a:prstGeom prst="rect">
                      <a:avLst/>
                    </a:prstGeom>
                    <a:noFill/>
                    <a:ln>
                      <a:noFill/>
                    </a:ln>
                  </pic:spPr>
                </pic:pic>
              </a:graphicData>
            </a:graphic>
          </wp:inline>
        </w:drawing>
      </w:r>
    </w:p>
    <w:p w14:paraId="18B19447" w14:textId="52B64894" w:rsidR="00197F7C" w:rsidRDefault="00254A12" w:rsidP="00254A12">
      <w:pPr>
        <w:pStyle w:val="FigureCaption"/>
      </w:pPr>
      <w:r>
        <w:t>Figure</w:t>
      </w:r>
      <w:r w:rsidR="00452E5F">
        <w:t xml:space="preserve"> 4</w:t>
      </w:r>
      <w:r>
        <w:t>: Multi-layer Perceptron Confusion Matrix</w:t>
      </w:r>
    </w:p>
    <w:p w14:paraId="72F0CC77" w14:textId="1AE0ECB7" w:rsidR="00DF6224" w:rsidRDefault="00DF6224" w:rsidP="00254A12">
      <w:pPr>
        <w:pStyle w:val="FigureCaption"/>
      </w:pPr>
    </w:p>
    <w:p w14:paraId="41E5E925" w14:textId="76171F97" w:rsidR="00DF6224" w:rsidRDefault="00DF6224" w:rsidP="00254A12">
      <w:pPr>
        <w:pStyle w:val="FigureCaption"/>
      </w:pPr>
      <w:r>
        <w:rPr>
          <w:b w:val="0"/>
          <w:noProof/>
        </w:rPr>
        <w:drawing>
          <wp:inline distT="0" distB="0" distL="0" distR="0" wp14:anchorId="343BCDED" wp14:editId="700D6AEA">
            <wp:extent cx="3048000" cy="2068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068830"/>
                    </a:xfrm>
                    <a:prstGeom prst="rect">
                      <a:avLst/>
                    </a:prstGeom>
                    <a:noFill/>
                    <a:ln>
                      <a:noFill/>
                    </a:ln>
                  </pic:spPr>
                </pic:pic>
              </a:graphicData>
            </a:graphic>
          </wp:inline>
        </w:drawing>
      </w:r>
    </w:p>
    <w:p w14:paraId="19A5A682" w14:textId="676D30A0" w:rsidR="00DF6224" w:rsidRDefault="00DF6224" w:rsidP="00DF6224">
      <w:pPr>
        <w:pStyle w:val="FigureCaption"/>
      </w:pPr>
      <w:r>
        <w:t xml:space="preserve">Figure </w:t>
      </w:r>
      <w:r w:rsidR="00452E5F">
        <w:t>5</w:t>
      </w:r>
      <w:r>
        <w:t>: Multi-layer Perceptron ROC Curve</w:t>
      </w:r>
    </w:p>
    <w:p w14:paraId="7A29D8E5" w14:textId="77777777" w:rsidR="00E85A65" w:rsidRDefault="00E85A65" w:rsidP="00E85A65">
      <w:pPr>
        <w:pStyle w:val="Abstract"/>
        <w:rPr>
          <w:rFonts w:eastAsia="Verdana"/>
        </w:rPr>
      </w:pPr>
    </w:p>
    <w:p w14:paraId="7582FD71" w14:textId="77777777" w:rsidR="00E85A65" w:rsidRDefault="00E85A65" w:rsidP="00E85A65">
      <w:pPr>
        <w:pStyle w:val="Abstract"/>
        <w:rPr>
          <w:rFonts w:eastAsia="Verdana"/>
        </w:rPr>
      </w:pPr>
    </w:p>
    <w:p w14:paraId="21D5AA27" w14:textId="77777777" w:rsidR="00E85A65" w:rsidRDefault="00E85A65" w:rsidP="00E85A65">
      <w:pPr>
        <w:pStyle w:val="Abstract"/>
        <w:rPr>
          <w:rFonts w:eastAsia="Verdana"/>
        </w:rPr>
      </w:pPr>
    </w:p>
    <w:p w14:paraId="5A467C64" w14:textId="77777777" w:rsidR="00E85A65" w:rsidRDefault="00E85A65" w:rsidP="00E85A65">
      <w:pPr>
        <w:pStyle w:val="Abstract"/>
        <w:rPr>
          <w:rFonts w:eastAsia="Verdana"/>
        </w:rPr>
      </w:pPr>
    </w:p>
    <w:p w14:paraId="4B63DE8F" w14:textId="1E19D81F" w:rsidR="00323F6F" w:rsidRDefault="00323F6F" w:rsidP="00E85A65">
      <w:pPr>
        <w:pStyle w:val="Abstract"/>
        <w:rPr>
          <w:rFonts w:eastAsia="Verdana"/>
        </w:rPr>
      </w:pPr>
      <w:r>
        <w:rPr>
          <w:rFonts w:eastAsia="Verdana"/>
        </w:rPr>
        <w:t xml:space="preserve">Like the logistic regression model, the vast majority of anchors explanations for the neural network were explained by one variable: interest rate. Figure 6 you can see the explanation for the prediction of the same two data points as the logistic regression. These two data points use very similar anchors to explain the reason for its prediction, with the neural network using </w:t>
      </w:r>
      <w:proofErr w:type="spellStart"/>
      <w:r>
        <w:rPr>
          <w:rFonts w:eastAsia="Verdana"/>
        </w:rPr>
        <w:t>rateSubvention</w:t>
      </w:r>
      <w:proofErr w:type="spellEnd"/>
      <w:r>
        <w:rPr>
          <w:rFonts w:eastAsia="Verdana"/>
        </w:rPr>
        <w:t xml:space="preserve"> in favor of credit score and income verification.</w:t>
      </w:r>
    </w:p>
    <w:p w14:paraId="50F14969" w14:textId="77777777" w:rsidR="00E85A65" w:rsidRDefault="00E85A65" w:rsidP="009D2669">
      <w:pPr>
        <w:pStyle w:val="FigureCaption"/>
        <w:pBdr>
          <w:bottom w:val="single" w:sz="12" w:space="1" w:color="auto"/>
        </w:pBdr>
        <w:jc w:val="both"/>
      </w:pPr>
    </w:p>
    <w:p w14:paraId="3CCDD850" w14:textId="3537EE76" w:rsidR="007E045E" w:rsidRPr="007E045E" w:rsidRDefault="007E045E" w:rsidP="007E045E">
      <w:pPr>
        <w:pStyle w:val="AbsHead"/>
        <w:rPr>
          <w:rFonts w:eastAsia="Verdana" w:cstheme="minorBidi"/>
          <w:b w:val="0"/>
          <w:sz w:val="18"/>
          <w:lang w:val="en-US"/>
        </w:rPr>
      </w:pPr>
      <w:r w:rsidRPr="007E045E">
        <w:rPr>
          <w:rFonts w:eastAsia="Verdana" w:cstheme="minorBidi"/>
          <w:b w:val="0"/>
          <w:sz w:val="18"/>
          <w:lang w:val="en-US"/>
        </w:rPr>
        <w:t>Neural Network Prediction:  Defaulted</w:t>
      </w:r>
    </w:p>
    <w:p w14:paraId="3FF03D5E" w14:textId="77777777" w:rsidR="007E045E" w:rsidRPr="007E045E" w:rsidRDefault="007E045E" w:rsidP="007E045E">
      <w:pPr>
        <w:pStyle w:val="AbsHead"/>
        <w:rPr>
          <w:rFonts w:eastAsia="Verdana" w:cstheme="minorBidi"/>
          <w:b w:val="0"/>
          <w:sz w:val="18"/>
          <w:lang w:val="en-US"/>
        </w:rPr>
      </w:pPr>
      <w:r w:rsidRPr="007E045E">
        <w:rPr>
          <w:rFonts w:eastAsia="Verdana" w:cstheme="minorBidi"/>
          <w:b w:val="0"/>
          <w:sz w:val="18"/>
          <w:lang w:val="en-US"/>
        </w:rPr>
        <w:t xml:space="preserve">Anchor: </w:t>
      </w:r>
      <w:proofErr w:type="spellStart"/>
      <w:r w:rsidRPr="007E045E">
        <w:rPr>
          <w:rFonts w:eastAsia="Verdana" w:cstheme="minorBidi"/>
          <w:b w:val="0"/>
          <w:sz w:val="18"/>
          <w:lang w:val="en-US"/>
        </w:rPr>
        <w:t>interestRate</w:t>
      </w:r>
      <w:proofErr w:type="spellEnd"/>
      <w:r w:rsidRPr="007E045E">
        <w:rPr>
          <w:rFonts w:eastAsia="Verdana" w:cstheme="minorBidi"/>
          <w:b w:val="0"/>
          <w:sz w:val="18"/>
          <w:lang w:val="en-US"/>
        </w:rPr>
        <w:t xml:space="preserve"> &gt; 0.51 AND </w:t>
      </w:r>
      <w:proofErr w:type="spellStart"/>
      <w:r w:rsidRPr="007E045E">
        <w:rPr>
          <w:rFonts w:eastAsia="Verdana" w:cstheme="minorBidi"/>
          <w:b w:val="0"/>
          <w:sz w:val="18"/>
          <w:lang w:val="en-US"/>
        </w:rPr>
        <w:t>rateSubvention</w:t>
      </w:r>
      <w:proofErr w:type="spellEnd"/>
      <w:r w:rsidRPr="007E045E">
        <w:rPr>
          <w:rFonts w:eastAsia="Verdana" w:cstheme="minorBidi"/>
          <w:b w:val="0"/>
          <w:sz w:val="18"/>
          <w:lang w:val="en-US"/>
        </w:rPr>
        <w:t xml:space="preserve"> = No</w:t>
      </w:r>
    </w:p>
    <w:p w14:paraId="7E6F23D9" w14:textId="77777777" w:rsidR="007E045E" w:rsidRPr="007E045E" w:rsidRDefault="007E045E" w:rsidP="007E045E">
      <w:pPr>
        <w:pStyle w:val="AbsHead"/>
        <w:rPr>
          <w:rFonts w:eastAsia="Verdana" w:cstheme="minorBidi"/>
          <w:b w:val="0"/>
          <w:sz w:val="18"/>
          <w:lang w:val="en-US"/>
        </w:rPr>
      </w:pPr>
      <w:r w:rsidRPr="007E045E">
        <w:rPr>
          <w:rFonts w:eastAsia="Verdana" w:cstheme="minorBidi"/>
          <w:b w:val="0"/>
          <w:sz w:val="18"/>
          <w:lang w:val="en-US"/>
        </w:rPr>
        <w:t>Precision: 0.97</w:t>
      </w:r>
    </w:p>
    <w:p w14:paraId="6FAABA17" w14:textId="35B58A18" w:rsidR="007E045E" w:rsidRDefault="007E045E" w:rsidP="007E045E">
      <w:pPr>
        <w:pStyle w:val="AbsHead"/>
        <w:pBdr>
          <w:bottom w:val="single" w:sz="12" w:space="1" w:color="auto"/>
        </w:pBdr>
        <w:rPr>
          <w:rFonts w:eastAsia="Verdana" w:cstheme="minorBidi"/>
          <w:b w:val="0"/>
          <w:sz w:val="18"/>
          <w:lang w:val="en-US"/>
        </w:rPr>
      </w:pPr>
      <w:r w:rsidRPr="007E045E">
        <w:rPr>
          <w:rFonts w:eastAsia="Verdana" w:cstheme="minorBidi"/>
          <w:b w:val="0"/>
          <w:sz w:val="18"/>
          <w:lang w:val="en-US"/>
        </w:rPr>
        <w:t>Coverage: 0.49</w:t>
      </w:r>
    </w:p>
    <w:p w14:paraId="2C26EEBE" w14:textId="224385FE" w:rsidR="007E045E" w:rsidRPr="007E045E" w:rsidRDefault="007E045E" w:rsidP="007E045E">
      <w:pPr>
        <w:pStyle w:val="AbsHead"/>
        <w:rPr>
          <w:rFonts w:eastAsia="Verdana" w:cstheme="minorBidi"/>
          <w:b w:val="0"/>
          <w:sz w:val="18"/>
          <w:lang w:val="en-US"/>
        </w:rPr>
      </w:pPr>
      <w:r w:rsidRPr="007E045E">
        <w:rPr>
          <w:rFonts w:eastAsia="Verdana" w:cstheme="minorBidi"/>
          <w:b w:val="0"/>
          <w:sz w:val="18"/>
          <w:lang w:val="en-US"/>
        </w:rPr>
        <w:t>Neural Network Prediction:  Not Defaulted</w:t>
      </w:r>
    </w:p>
    <w:p w14:paraId="6CA1ADD0" w14:textId="77777777" w:rsidR="007E045E" w:rsidRPr="007E045E" w:rsidRDefault="007E045E" w:rsidP="007E045E">
      <w:pPr>
        <w:pStyle w:val="AbsHead"/>
        <w:rPr>
          <w:rFonts w:eastAsia="Verdana" w:cstheme="minorBidi"/>
          <w:b w:val="0"/>
          <w:sz w:val="18"/>
          <w:lang w:val="en-US"/>
        </w:rPr>
      </w:pPr>
      <w:r w:rsidRPr="007E045E">
        <w:rPr>
          <w:rFonts w:eastAsia="Verdana" w:cstheme="minorBidi"/>
          <w:b w:val="0"/>
          <w:sz w:val="18"/>
          <w:lang w:val="en-US"/>
        </w:rPr>
        <w:t xml:space="preserve">Anchor: </w:t>
      </w:r>
      <w:proofErr w:type="spellStart"/>
      <w:r w:rsidRPr="007E045E">
        <w:rPr>
          <w:rFonts w:eastAsia="Verdana" w:cstheme="minorBidi"/>
          <w:b w:val="0"/>
          <w:sz w:val="18"/>
          <w:lang w:val="en-US"/>
        </w:rPr>
        <w:t>interestRate</w:t>
      </w:r>
      <w:proofErr w:type="spellEnd"/>
      <w:r w:rsidRPr="007E045E">
        <w:rPr>
          <w:rFonts w:eastAsia="Verdana" w:cstheme="minorBidi"/>
          <w:b w:val="0"/>
          <w:sz w:val="18"/>
          <w:lang w:val="en-US"/>
        </w:rPr>
        <w:t xml:space="preserve"> &lt;= 0.18</w:t>
      </w:r>
    </w:p>
    <w:p w14:paraId="1195E6A6" w14:textId="77777777" w:rsidR="007E045E" w:rsidRPr="007E045E" w:rsidRDefault="007E045E" w:rsidP="007E045E">
      <w:pPr>
        <w:pStyle w:val="AbsHead"/>
        <w:rPr>
          <w:rFonts w:eastAsia="Verdana" w:cstheme="minorBidi"/>
          <w:b w:val="0"/>
          <w:sz w:val="18"/>
          <w:lang w:val="en-US"/>
        </w:rPr>
      </w:pPr>
      <w:r w:rsidRPr="007E045E">
        <w:rPr>
          <w:rFonts w:eastAsia="Verdana" w:cstheme="minorBidi"/>
          <w:b w:val="0"/>
          <w:sz w:val="18"/>
          <w:lang w:val="en-US"/>
        </w:rPr>
        <w:t>Precision: 0.95</w:t>
      </w:r>
    </w:p>
    <w:p w14:paraId="34B70621" w14:textId="03B200F7" w:rsidR="00254A12" w:rsidRDefault="007E045E" w:rsidP="007E045E">
      <w:pPr>
        <w:pStyle w:val="AbsHead"/>
        <w:rPr>
          <w:rFonts w:eastAsia="Verdana" w:cstheme="minorBidi"/>
          <w:b w:val="0"/>
          <w:sz w:val="18"/>
          <w:lang w:val="en-US"/>
        </w:rPr>
      </w:pPr>
      <w:r w:rsidRPr="007E045E">
        <w:rPr>
          <w:rFonts w:eastAsia="Verdana" w:cstheme="minorBidi"/>
          <w:b w:val="0"/>
          <w:sz w:val="18"/>
          <w:lang w:val="en-US"/>
        </w:rPr>
        <w:t>Coverage: 0.24</w:t>
      </w:r>
    </w:p>
    <w:p w14:paraId="024B057B" w14:textId="20E00CAC" w:rsidR="007E045E" w:rsidRDefault="007E045E" w:rsidP="007E045E">
      <w:pPr>
        <w:pStyle w:val="FigureCaption"/>
      </w:pPr>
      <w:r>
        <w:t xml:space="preserve">Figure </w:t>
      </w:r>
      <w:r w:rsidR="00452E5F">
        <w:t>6</w:t>
      </w:r>
      <w:r>
        <w:t xml:space="preserve">: Two Anchor Explanations </w:t>
      </w:r>
      <w:r>
        <w:t>ANN</w:t>
      </w:r>
    </w:p>
    <w:p w14:paraId="4E52DF8D" w14:textId="77777777" w:rsidR="009D2669" w:rsidRDefault="009D2669" w:rsidP="009D2669">
      <w:pPr>
        <w:pStyle w:val="FigureCaption"/>
        <w:jc w:val="both"/>
      </w:pPr>
    </w:p>
    <w:p w14:paraId="330596A3" w14:textId="339EA1A3" w:rsidR="00E85A65" w:rsidRDefault="009D2669" w:rsidP="009D2669">
      <w:pPr>
        <w:pStyle w:val="AbsHead"/>
        <w:rPr>
          <w14:ligatures w14:val="standard"/>
        </w:rPr>
      </w:pPr>
      <w:r>
        <w:rPr>
          <w14:ligatures w14:val="standard"/>
        </w:rPr>
        <w:t xml:space="preserve">5. </w:t>
      </w:r>
      <w:r w:rsidR="00FD68B1">
        <w:rPr>
          <w14:ligatures w14:val="standard"/>
        </w:rPr>
        <w:t>DISCUSSION</w:t>
      </w:r>
      <w:r w:rsidR="00117621">
        <w:rPr>
          <w14:ligatures w14:val="standard"/>
        </w:rPr>
        <w:t xml:space="preserve"> </w:t>
      </w:r>
    </w:p>
    <w:p w14:paraId="1569DFD4" w14:textId="27BF1A1B" w:rsidR="00B64D49" w:rsidRDefault="00945175" w:rsidP="009D2669">
      <w:pPr>
        <w:pStyle w:val="Abstract"/>
        <w:rPr>
          <w:rFonts w:eastAsia="Verdana"/>
        </w:rPr>
      </w:pPr>
      <w:r>
        <w:rPr>
          <w:rFonts w:eastAsia="Verdana"/>
        </w:rPr>
        <w:t xml:space="preserve">Comparing logistic regression to our chosen neural network architecture shows that logistic regression outperformed the neural network. The overall accuracy was higher, and the model was more balanced in its false positive and false negative rates. Depending upon how this model is applied, the higher precision shown by the neural network could make it a more suitable candidate, but overall, it does not </w:t>
      </w:r>
      <w:r w:rsidR="00B64D49">
        <w:rPr>
          <w:rFonts w:eastAsia="Verdana"/>
        </w:rPr>
        <w:t xml:space="preserve">outperform </w:t>
      </w:r>
      <w:r>
        <w:rPr>
          <w:rFonts w:eastAsia="Verdana"/>
        </w:rPr>
        <w:t xml:space="preserve">to the logistic regression model. </w:t>
      </w:r>
    </w:p>
    <w:p w14:paraId="6C1E2A77" w14:textId="1DCC4DE0" w:rsidR="00945175" w:rsidRDefault="00945175" w:rsidP="009D2669">
      <w:pPr>
        <w:pStyle w:val="Abstract"/>
        <w:rPr>
          <w:rFonts w:eastAsia="Verdana"/>
        </w:rPr>
      </w:pPr>
      <w:r>
        <w:rPr>
          <w:rFonts w:eastAsia="Verdana"/>
        </w:rPr>
        <w:t xml:space="preserve">In terms of the explanations provided by anchors, both models were closely aligned. Both heavily relied on interest rate for explaining the prediction outcome. </w:t>
      </w:r>
      <w:r w:rsidR="00CA4F92">
        <w:rPr>
          <w:rFonts w:eastAsia="Verdana"/>
        </w:rPr>
        <w:t xml:space="preserve">However, when validating the explanations against the log-odds of the logistic regression </w:t>
      </w:r>
      <w:r w:rsidR="00A12EA6">
        <w:rPr>
          <w:rFonts w:eastAsia="Verdana"/>
        </w:rPr>
        <w:t>coefficient for interest rate</w:t>
      </w:r>
      <w:r w:rsidR="00CA4F92">
        <w:rPr>
          <w:rFonts w:eastAsia="Verdana"/>
        </w:rPr>
        <w:t>, we see the inverse relationship.</w:t>
      </w:r>
      <w:r w:rsidR="005C00C2">
        <w:rPr>
          <w:rFonts w:eastAsia="Verdana"/>
        </w:rPr>
        <w:t xml:space="preserve"> This is interesting because traditionally higher interest rates are offered to candidates w</w:t>
      </w:r>
      <w:r w:rsidR="00B64D49">
        <w:rPr>
          <w:rFonts w:eastAsia="Verdana"/>
        </w:rPr>
        <w:t>ith a perceived higher risk, but the model has found that candidates with higher interest rates have a lower risk of default. While not in the scope of this work, the next step would be to determine whether this effect is statistically significant. This can be done through hypothesis testing such as a one-sample Z test.</w:t>
      </w:r>
    </w:p>
    <w:p w14:paraId="5EDBB9E7" w14:textId="171CE88B" w:rsidR="007E045E" w:rsidRDefault="00A12EA6" w:rsidP="009314FA">
      <w:pPr>
        <w:pStyle w:val="Abstract"/>
        <w:rPr>
          <w:rFonts w:eastAsia="Verdana"/>
        </w:rPr>
      </w:pPr>
      <w:r>
        <w:rPr>
          <w:rFonts w:eastAsia="Verdana"/>
        </w:rPr>
        <w:t>Assuming interest rate is a valid differentiator between the classes, th</w:t>
      </w:r>
      <w:r w:rsidR="00761780">
        <w:rPr>
          <w:rFonts w:eastAsia="Verdana"/>
        </w:rPr>
        <w:t xml:space="preserve">ese explanations could be sufficient for regulators. In the event that an individual is denied a credit application, an adverse action notice can be sent informing the consumer that due to their credit profile, the applicant is unable to qualify for an interest rate that </w:t>
      </w:r>
      <w:r w:rsidR="009314FA">
        <w:rPr>
          <w:rFonts w:eastAsia="Verdana"/>
        </w:rPr>
        <w:t xml:space="preserve">places the risk of default in an acceptable threshold. Future work </w:t>
      </w:r>
      <w:r w:rsidR="009314FA">
        <w:rPr>
          <w:rFonts w:eastAsia="Verdana"/>
        </w:rPr>
        <w:lastRenderedPageBreak/>
        <w:t>can be done to integrate a model like this into a full credit risk model that incorporates the expected loss given default of the loan.</w:t>
      </w:r>
    </w:p>
    <w:p w14:paraId="4B11D464" w14:textId="77777777" w:rsidR="002F1FE7" w:rsidRPr="009314FA" w:rsidRDefault="002F1FE7" w:rsidP="009314FA">
      <w:pPr>
        <w:pStyle w:val="Abstract"/>
        <w:rPr>
          <w:rFonts w:eastAsia="Verdana"/>
        </w:rPr>
      </w:pPr>
    </w:p>
    <w:p w14:paraId="17CE5E3F" w14:textId="03C29F49" w:rsidR="00472729" w:rsidRDefault="00323F6F" w:rsidP="00CA0912">
      <w:pPr>
        <w:pStyle w:val="AbsHead"/>
        <w:rPr>
          <w14:ligatures w14:val="standard"/>
        </w:rPr>
      </w:pPr>
      <w:r>
        <w:rPr>
          <w14:ligatures w14:val="standard"/>
        </w:rPr>
        <w:t>6</w:t>
      </w:r>
      <w:r w:rsidR="009F6069">
        <w:rPr>
          <w14:ligatures w14:val="standard"/>
        </w:rPr>
        <w:t xml:space="preserve">. </w:t>
      </w:r>
      <w:r w:rsidR="00FD68B1">
        <w:rPr>
          <w14:ligatures w14:val="standard"/>
        </w:rPr>
        <w:t>LIMITATIONS &amp; CONCLUSION</w:t>
      </w:r>
    </w:p>
    <w:p w14:paraId="364C7543" w14:textId="296B3849" w:rsidR="00472729" w:rsidRDefault="004F2828" w:rsidP="00323F6F">
      <w:pPr>
        <w:pStyle w:val="Abstract"/>
        <w:rPr>
          <w:rFonts w:eastAsia="Verdana"/>
        </w:rPr>
      </w:pPr>
      <w:r>
        <w:rPr>
          <w:rFonts w:eastAsia="Verdana"/>
        </w:rPr>
        <w:t xml:space="preserve">There are many areas of this problem that can be further explored that are outside of the scope of this study. In particular, the models can be improved by exploring different model types, performing a feature selection process to remove highly collinear features, search for more complex neural network architectures, and many more. To improve the XAI framework’s </w:t>
      </w:r>
      <w:proofErr w:type="spellStart"/>
      <w:r>
        <w:rPr>
          <w:rFonts w:eastAsia="Verdana"/>
        </w:rPr>
        <w:t>explainability</w:t>
      </w:r>
      <w:proofErr w:type="spellEnd"/>
      <w:r>
        <w:rPr>
          <w:rFonts w:eastAsia="Verdana"/>
        </w:rPr>
        <w:t>, future works can create a process for inversing the normalization of the input features to return explanations to their true values.</w:t>
      </w:r>
    </w:p>
    <w:p w14:paraId="5F9B1119" w14:textId="1B60345A" w:rsidR="00472729" w:rsidRDefault="00472729" w:rsidP="00472729">
      <w:pPr>
        <w:pStyle w:val="Abstract"/>
        <w:rPr>
          <w:rFonts w:eastAsia="Verdana"/>
        </w:rPr>
      </w:pPr>
      <w:r>
        <w:rPr>
          <w:rFonts w:eastAsia="Verdana"/>
        </w:rPr>
        <w:t xml:space="preserve">This work set out to address two key questions. For Q1, it was discovered that for the </w:t>
      </w:r>
      <w:r>
        <w:rPr>
          <w:rFonts w:eastAsia="Verdana"/>
        </w:rPr>
        <w:t xml:space="preserve">architectures searched, the logistic regression model performed better on both model accuracy and </w:t>
      </w:r>
      <w:proofErr w:type="spellStart"/>
      <w:r>
        <w:rPr>
          <w:rFonts w:eastAsia="Verdana"/>
        </w:rPr>
        <w:t>explainability</w:t>
      </w:r>
      <w:proofErr w:type="spellEnd"/>
      <w:r>
        <w:rPr>
          <w:rFonts w:eastAsia="Verdana"/>
        </w:rPr>
        <w:t>. Q2 found that there is potential for the Anchors framework to be used to provide adverse action notices</w:t>
      </w:r>
      <w:r w:rsidR="00B50C65">
        <w:rPr>
          <w:rFonts w:eastAsia="Verdana"/>
        </w:rPr>
        <w:t xml:space="preserve"> to consumers from decisions reached using black-box models.</w:t>
      </w:r>
      <w:r>
        <w:rPr>
          <w:rFonts w:eastAsia="Verdana"/>
        </w:rPr>
        <w:t xml:space="preserve"> To assess the viability, a continuation of this study in partnership with legal counsel would be required.</w:t>
      </w:r>
    </w:p>
    <w:p w14:paraId="4B4C7198" w14:textId="77777777" w:rsidR="009D2669" w:rsidRPr="009D2669" w:rsidRDefault="009D2669" w:rsidP="009D2669">
      <w:pPr>
        <w:pStyle w:val="Abstract"/>
        <w:rPr>
          <w:rFonts w:eastAsia="Verdana"/>
        </w:rPr>
      </w:pPr>
    </w:p>
    <w:p w14:paraId="51206D49" w14:textId="74706B0B" w:rsidR="0007392C" w:rsidRDefault="00AA5BF1" w:rsidP="00AA5BF1">
      <w:pPr>
        <w:pStyle w:val="ReferenceHead"/>
        <w:rPr>
          <w14:ligatures w14:val="standard"/>
        </w:rPr>
      </w:pPr>
      <w:r w:rsidRPr="00586A35">
        <w:rPr>
          <w14:ligatures w14:val="standard"/>
        </w:rPr>
        <w:t>REFERENCES</w:t>
      </w:r>
    </w:p>
    <w:p w14:paraId="0CF96E91" w14:textId="39EF66DE" w:rsidR="008F2C83" w:rsidRDefault="008F2C83" w:rsidP="008F2C83">
      <w:pPr>
        <w:pStyle w:val="Bibentry"/>
      </w:pPr>
      <w:r>
        <w:t>[</w:t>
      </w:r>
      <w:r>
        <w:t>1</w:t>
      </w:r>
      <w:r>
        <w:t>]</w:t>
      </w:r>
      <w:r>
        <w:tab/>
      </w:r>
      <w:bookmarkStart w:id="2" w:name="_Hlk97827761"/>
      <w:r>
        <w:t xml:space="preserve">Fair Credit Reporting Act, 15 U.S.C </w:t>
      </w:r>
      <w:r w:rsidRPr="00E1127E">
        <w:t>§</w:t>
      </w:r>
      <w:r>
        <w:t xml:space="preserve"> 1681 (1970).</w:t>
      </w:r>
      <w:bookmarkEnd w:id="2"/>
    </w:p>
    <w:p w14:paraId="4D9FF7FC" w14:textId="62BB0468" w:rsidR="008F2C83" w:rsidRDefault="008F2C83" w:rsidP="008F2C83">
      <w:pPr>
        <w:pStyle w:val="Bibentry"/>
      </w:pPr>
      <w:r w:rsidRPr="008F2C83">
        <w:t>https://www.consumer.ftc.gov/articles/pdf-0111-fair-credit-reporting-act.pdf</w:t>
      </w:r>
    </w:p>
    <w:p w14:paraId="265AA2F3" w14:textId="77777777" w:rsidR="008F2C83" w:rsidRPr="008F2C83" w:rsidRDefault="008F2C83" w:rsidP="008F2C83">
      <w:pPr>
        <w:pStyle w:val="Bibentry"/>
      </w:pPr>
    </w:p>
    <w:p w14:paraId="23F62230" w14:textId="220610B6" w:rsidR="00CA0912" w:rsidRPr="00CA0912" w:rsidRDefault="00586A35" w:rsidP="00CA0912">
      <w:pPr>
        <w:pStyle w:val="Bibentry"/>
      </w:pPr>
      <w:r w:rsidRPr="000E64FC">
        <w:rPr>
          <w14:ligatures w14:val="standard"/>
        </w:rPr>
        <w:t>[</w:t>
      </w:r>
      <w:r w:rsidR="008F2C83">
        <w:rPr>
          <w14:ligatures w14:val="standard"/>
        </w:rPr>
        <w:t>2</w:t>
      </w:r>
      <w:r w:rsidRPr="000E64FC">
        <w:rPr>
          <w14:ligatures w14:val="standard"/>
        </w:rPr>
        <w:t>]</w:t>
      </w:r>
      <w:r w:rsidR="00BC5BDA" w:rsidRPr="000E64FC">
        <w:rPr>
          <w14:ligatures w14:val="standard"/>
        </w:rPr>
        <w:tab/>
      </w:r>
      <w:r w:rsidR="00CA0912" w:rsidRPr="00CA0912">
        <w:t xml:space="preserve">Wiginton, J. C. (1980). A Note on the Comparison of Logit and Discriminant Models of Consumer Credit Behavior. </w:t>
      </w:r>
      <w:r w:rsidR="00CA0912" w:rsidRPr="00CA0912">
        <w:rPr>
          <w:i/>
          <w:iCs/>
        </w:rPr>
        <w:t>The Journal of Financial and Quantitative Analysis</w:t>
      </w:r>
      <w:r w:rsidR="00CA0912" w:rsidRPr="00CA0912">
        <w:t xml:space="preserve">, </w:t>
      </w:r>
      <w:r w:rsidR="00CA0912" w:rsidRPr="00CA0912">
        <w:rPr>
          <w:i/>
          <w:iCs/>
        </w:rPr>
        <w:t>15</w:t>
      </w:r>
      <w:r w:rsidR="00CA0912" w:rsidRPr="00CA0912">
        <w:t>(3), 757–770. https://doi.org/10.2307/2330408</w:t>
      </w:r>
    </w:p>
    <w:p w14:paraId="72E5AF5C" w14:textId="348A5086" w:rsidR="000E64FC" w:rsidRPr="000E64FC" w:rsidRDefault="000E64FC" w:rsidP="00CA0912">
      <w:pPr>
        <w:pStyle w:val="Bibentry"/>
      </w:pPr>
    </w:p>
    <w:p w14:paraId="43A76142" w14:textId="04087645" w:rsidR="00732D22" w:rsidRDefault="00586A35" w:rsidP="00CA0912">
      <w:pPr>
        <w:pStyle w:val="Bibentry"/>
      </w:pPr>
      <w:r w:rsidRPr="00586A35">
        <w:rPr>
          <w14:ligatures w14:val="standard"/>
        </w:rPr>
        <w:t>[3]</w:t>
      </w:r>
      <w:r w:rsidR="00BC5BDA" w:rsidRPr="00586A35">
        <w:rPr>
          <w14:ligatures w14:val="standard"/>
        </w:rPr>
        <w:tab/>
      </w:r>
      <w:proofErr w:type="spellStart"/>
      <w:r w:rsidR="00CA0912" w:rsidRPr="00CA0912">
        <w:t>Demajo</w:t>
      </w:r>
      <w:proofErr w:type="spellEnd"/>
      <w:r w:rsidR="00CA0912" w:rsidRPr="00CA0912">
        <w:t xml:space="preserve">, L.M., Vella, V., &amp; </w:t>
      </w:r>
      <w:proofErr w:type="spellStart"/>
      <w:r w:rsidR="00CA0912" w:rsidRPr="00CA0912">
        <w:t>Dingli</w:t>
      </w:r>
      <w:proofErr w:type="spellEnd"/>
      <w:r w:rsidR="00CA0912" w:rsidRPr="00CA0912">
        <w:t xml:space="preserve">, A. (2020). Explainable AI for Interpretable Credit Scoring. </w:t>
      </w:r>
      <w:proofErr w:type="spellStart"/>
      <w:r w:rsidR="00CA0912" w:rsidRPr="00CA0912">
        <w:t>ArXiv</w:t>
      </w:r>
      <w:proofErr w:type="spellEnd"/>
      <w:r w:rsidR="00CA0912" w:rsidRPr="00CA0912">
        <w:t>, abs/</w:t>
      </w:r>
      <w:proofErr w:type="gramStart"/>
      <w:r w:rsidR="00CA0912" w:rsidRPr="00CA0912">
        <w:t>2012.03749.Why</w:t>
      </w:r>
      <w:proofErr w:type="gramEnd"/>
      <w:r w:rsidR="00CA0912" w:rsidRPr="00CA0912">
        <w:t xml:space="preserve"> is this important?</w:t>
      </w:r>
    </w:p>
    <w:p w14:paraId="5D7283BC" w14:textId="77777777" w:rsidR="00FA06F5" w:rsidRDefault="00FA06F5" w:rsidP="00FA06F5">
      <w:pPr>
        <w:pStyle w:val="Bibentry"/>
        <w:ind w:left="0"/>
      </w:pPr>
    </w:p>
    <w:p w14:paraId="0D07AA56" w14:textId="0D7B80FB" w:rsidR="00FA06F5" w:rsidRDefault="00FA06F5" w:rsidP="00FA06F5">
      <w:pPr>
        <w:pStyle w:val="Bibentry"/>
      </w:pPr>
      <w:r>
        <w:t>[</w:t>
      </w:r>
      <w:r w:rsidR="008F2C83">
        <w:t>4</w:t>
      </w:r>
      <w:r>
        <w:t>]</w:t>
      </w:r>
      <w:r>
        <w:tab/>
      </w:r>
      <w:r>
        <w:t>Ribeiro. (2018). Model-Agnostic Explanations and Evaluation of Machine Learning. ProQuest Dissertations Publishing.</w:t>
      </w:r>
    </w:p>
    <w:p w14:paraId="6FB209A3" w14:textId="4B23A514" w:rsidR="00FA06F5" w:rsidRDefault="00FA06F5" w:rsidP="00CA0912">
      <w:pPr>
        <w:pStyle w:val="Bibentry"/>
      </w:pPr>
    </w:p>
    <w:p w14:paraId="3180DF29" w14:textId="77777777" w:rsidR="00FA06F5" w:rsidRDefault="00FA06F5" w:rsidP="00CA0912">
      <w:pPr>
        <w:pStyle w:val="Bibentry"/>
      </w:pPr>
    </w:p>
    <w:p w14:paraId="0C5B8677" w14:textId="2E422AB8" w:rsidR="00CA0912" w:rsidRDefault="00CA0912" w:rsidP="00CA0912">
      <w:pPr>
        <w:pStyle w:val="Bibentry"/>
      </w:pPr>
    </w:p>
    <w:p w14:paraId="3B6DA41E" w14:textId="77777777" w:rsidR="00CA0912" w:rsidRPr="00CA0912" w:rsidRDefault="00CA0912" w:rsidP="00CA0912">
      <w:pPr>
        <w:pStyle w:val="Bibentry"/>
      </w:pPr>
    </w:p>
    <w:p w14:paraId="074AE97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FEA139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1FED15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7B1BAA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851FCB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C59023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DB632D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1C8896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54B98C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3030968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30AC401"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3" w:name="intm"/>
      <w:bookmarkEnd w:id="3"/>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736C9" w14:textId="77777777" w:rsidR="007C1092" w:rsidRDefault="007C1092">
      <w:r>
        <w:separator/>
      </w:r>
    </w:p>
  </w:endnote>
  <w:endnote w:type="continuationSeparator" w:id="0">
    <w:p w14:paraId="260CC714" w14:textId="77777777" w:rsidR="007C1092" w:rsidRDefault="007C1092">
      <w:r>
        <w:continuationSeparator/>
      </w:r>
    </w:p>
  </w:endnote>
  <w:endnote w:type="continuationNotice" w:id="1">
    <w:p w14:paraId="0F724EB6" w14:textId="77777777" w:rsidR="007C1092" w:rsidRDefault="007C10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vvic Light">
    <w:charset w:val="00"/>
    <w:family w:val="auto"/>
    <w:pitch w:val="variable"/>
    <w:sig w:usb0="A00000FF" w:usb1="4000204B" w:usb2="00000000" w:usb3="00000000" w:csb0="000001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Arial"/>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386A8" w14:textId="77777777" w:rsidR="00586A35" w:rsidRPr="00586A35" w:rsidRDefault="00586A35" w:rsidP="00586A35">
    <w:pPr>
      <w:pStyle w:val="Footer"/>
      <w:rPr>
        <w:rStyle w:val="PageNumber"/>
        <w:rFonts w:ascii="Linux Biolinum" w:hAnsi="Linux Biolinum" w:cs="Linux Biolinum"/>
      </w:rPr>
    </w:pPr>
  </w:p>
  <w:p w14:paraId="41F1BB1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987E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FA4F9" w14:textId="77777777" w:rsidR="007C1092" w:rsidRDefault="007C1092">
      <w:r>
        <w:separator/>
      </w:r>
    </w:p>
  </w:footnote>
  <w:footnote w:type="continuationSeparator" w:id="0">
    <w:p w14:paraId="494B8E38" w14:textId="77777777" w:rsidR="007C1092" w:rsidRDefault="007C1092">
      <w:r>
        <w:continuationSeparator/>
      </w:r>
    </w:p>
  </w:footnote>
  <w:footnote w:type="continuationNotice" w:id="1">
    <w:p w14:paraId="5FF3F790" w14:textId="77777777" w:rsidR="007C1092" w:rsidRDefault="007C10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7ADE9B61" w14:textId="77777777" w:rsidTr="00586A35">
      <w:tc>
        <w:tcPr>
          <w:tcW w:w="2500" w:type="pct"/>
          <w:vAlign w:val="center"/>
        </w:tcPr>
        <w:p w14:paraId="2C292264" w14:textId="47781F4E"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411918F1" w14:textId="6655C861" w:rsidR="00586A35" w:rsidRPr="00586A35" w:rsidRDefault="00586A35" w:rsidP="00586A35">
          <w:pPr>
            <w:pStyle w:val="Header"/>
            <w:tabs>
              <w:tab w:val="clear" w:pos="4320"/>
              <w:tab w:val="clear" w:pos="8640"/>
            </w:tabs>
            <w:jc w:val="right"/>
            <w:rPr>
              <w:rFonts w:ascii="Linux Biolinum" w:hAnsi="Linux Biolinum" w:cs="Linux Biolinum"/>
            </w:rPr>
          </w:pPr>
        </w:p>
      </w:tc>
    </w:tr>
  </w:tbl>
  <w:p w14:paraId="48FBE388"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0EE63C2" w14:textId="77777777" w:rsidTr="00586A35">
      <w:tc>
        <w:tcPr>
          <w:tcW w:w="2500" w:type="pct"/>
          <w:vAlign w:val="center"/>
        </w:tcPr>
        <w:p w14:paraId="0464024A" w14:textId="4D826C87"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0BB885B7" w14:textId="3152B8A5" w:rsidR="00586A35" w:rsidRPr="00586A35" w:rsidRDefault="00586A35" w:rsidP="00586A35">
          <w:pPr>
            <w:pStyle w:val="Header"/>
            <w:tabs>
              <w:tab w:val="clear" w:pos="4320"/>
              <w:tab w:val="clear" w:pos="8640"/>
            </w:tabs>
            <w:jc w:val="right"/>
            <w:rPr>
              <w:rFonts w:ascii="Linux Biolinum" w:hAnsi="Linux Biolinum" w:cs="Linux Biolinum"/>
            </w:rPr>
          </w:pPr>
        </w:p>
      </w:tc>
    </w:tr>
  </w:tbl>
  <w:p w14:paraId="1475F375"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C90B1C"/>
    <w:multiLevelType w:val="hybridMultilevel"/>
    <w:tmpl w:val="B67E8F94"/>
    <w:lvl w:ilvl="0" w:tplc="939E8D16">
      <w:start w:val="1"/>
      <w:numFmt w:val="bullet"/>
      <w:lvlText w:val="●"/>
      <w:lvlJc w:val="left"/>
      <w:pPr>
        <w:tabs>
          <w:tab w:val="num" w:pos="720"/>
        </w:tabs>
        <w:ind w:left="720" w:hanging="360"/>
      </w:pPr>
      <w:rPr>
        <w:rFonts w:ascii="Livvic Light" w:hAnsi="Livvic Light" w:hint="default"/>
      </w:rPr>
    </w:lvl>
    <w:lvl w:ilvl="1" w:tplc="002AB34C" w:tentative="1">
      <w:start w:val="1"/>
      <w:numFmt w:val="bullet"/>
      <w:lvlText w:val="●"/>
      <w:lvlJc w:val="left"/>
      <w:pPr>
        <w:tabs>
          <w:tab w:val="num" w:pos="1440"/>
        </w:tabs>
        <w:ind w:left="1440" w:hanging="360"/>
      </w:pPr>
      <w:rPr>
        <w:rFonts w:ascii="Livvic Light" w:hAnsi="Livvic Light" w:hint="default"/>
      </w:rPr>
    </w:lvl>
    <w:lvl w:ilvl="2" w:tplc="E1228650" w:tentative="1">
      <w:start w:val="1"/>
      <w:numFmt w:val="bullet"/>
      <w:lvlText w:val="●"/>
      <w:lvlJc w:val="left"/>
      <w:pPr>
        <w:tabs>
          <w:tab w:val="num" w:pos="2160"/>
        </w:tabs>
        <w:ind w:left="2160" w:hanging="360"/>
      </w:pPr>
      <w:rPr>
        <w:rFonts w:ascii="Livvic Light" w:hAnsi="Livvic Light" w:hint="default"/>
      </w:rPr>
    </w:lvl>
    <w:lvl w:ilvl="3" w:tplc="2B92FE04" w:tentative="1">
      <w:start w:val="1"/>
      <w:numFmt w:val="bullet"/>
      <w:lvlText w:val="●"/>
      <w:lvlJc w:val="left"/>
      <w:pPr>
        <w:tabs>
          <w:tab w:val="num" w:pos="2880"/>
        </w:tabs>
        <w:ind w:left="2880" w:hanging="360"/>
      </w:pPr>
      <w:rPr>
        <w:rFonts w:ascii="Livvic Light" w:hAnsi="Livvic Light" w:hint="default"/>
      </w:rPr>
    </w:lvl>
    <w:lvl w:ilvl="4" w:tplc="6B365EE4" w:tentative="1">
      <w:start w:val="1"/>
      <w:numFmt w:val="bullet"/>
      <w:lvlText w:val="●"/>
      <w:lvlJc w:val="left"/>
      <w:pPr>
        <w:tabs>
          <w:tab w:val="num" w:pos="3600"/>
        </w:tabs>
        <w:ind w:left="3600" w:hanging="360"/>
      </w:pPr>
      <w:rPr>
        <w:rFonts w:ascii="Livvic Light" w:hAnsi="Livvic Light" w:hint="default"/>
      </w:rPr>
    </w:lvl>
    <w:lvl w:ilvl="5" w:tplc="CDA4B064" w:tentative="1">
      <w:start w:val="1"/>
      <w:numFmt w:val="bullet"/>
      <w:lvlText w:val="●"/>
      <w:lvlJc w:val="left"/>
      <w:pPr>
        <w:tabs>
          <w:tab w:val="num" w:pos="4320"/>
        </w:tabs>
        <w:ind w:left="4320" w:hanging="360"/>
      </w:pPr>
      <w:rPr>
        <w:rFonts w:ascii="Livvic Light" w:hAnsi="Livvic Light" w:hint="default"/>
      </w:rPr>
    </w:lvl>
    <w:lvl w:ilvl="6" w:tplc="98465000" w:tentative="1">
      <w:start w:val="1"/>
      <w:numFmt w:val="bullet"/>
      <w:lvlText w:val="●"/>
      <w:lvlJc w:val="left"/>
      <w:pPr>
        <w:tabs>
          <w:tab w:val="num" w:pos="5040"/>
        </w:tabs>
        <w:ind w:left="5040" w:hanging="360"/>
      </w:pPr>
      <w:rPr>
        <w:rFonts w:ascii="Livvic Light" w:hAnsi="Livvic Light" w:hint="default"/>
      </w:rPr>
    </w:lvl>
    <w:lvl w:ilvl="7" w:tplc="7166B958" w:tentative="1">
      <w:start w:val="1"/>
      <w:numFmt w:val="bullet"/>
      <w:lvlText w:val="●"/>
      <w:lvlJc w:val="left"/>
      <w:pPr>
        <w:tabs>
          <w:tab w:val="num" w:pos="5760"/>
        </w:tabs>
        <w:ind w:left="5760" w:hanging="360"/>
      </w:pPr>
      <w:rPr>
        <w:rFonts w:ascii="Livvic Light" w:hAnsi="Livvic Light" w:hint="default"/>
      </w:rPr>
    </w:lvl>
    <w:lvl w:ilvl="8" w:tplc="E82EE6DA" w:tentative="1">
      <w:start w:val="1"/>
      <w:numFmt w:val="bullet"/>
      <w:lvlText w:val="●"/>
      <w:lvlJc w:val="left"/>
      <w:pPr>
        <w:tabs>
          <w:tab w:val="num" w:pos="6480"/>
        </w:tabs>
        <w:ind w:left="6480" w:hanging="360"/>
      </w:pPr>
      <w:rPr>
        <w:rFonts w:ascii="Livvic Light" w:hAnsi="Livvic Light" w:hint="default"/>
      </w:rPr>
    </w:lvl>
  </w:abstractNum>
  <w:abstractNum w:abstractNumId="11" w15:restartNumberingAfterBreak="0">
    <w:nsid w:val="09FE7929"/>
    <w:multiLevelType w:val="hybridMultilevel"/>
    <w:tmpl w:val="D3620504"/>
    <w:lvl w:ilvl="0" w:tplc="AC5E218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DBC6916"/>
    <w:multiLevelType w:val="hybridMultilevel"/>
    <w:tmpl w:val="5BBCB394"/>
    <w:lvl w:ilvl="0" w:tplc="AC805224">
      <w:start w:val="1"/>
      <w:numFmt w:val="bullet"/>
      <w:lvlText w:val="●"/>
      <w:lvlJc w:val="left"/>
      <w:pPr>
        <w:tabs>
          <w:tab w:val="num" w:pos="720"/>
        </w:tabs>
        <w:ind w:left="720" w:hanging="360"/>
      </w:pPr>
      <w:rPr>
        <w:rFonts w:ascii="Livvic Light" w:hAnsi="Livvic Light" w:hint="default"/>
      </w:rPr>
    </w:lvl>
    <w:lvl w:ilvl="1" w:tplc="A628E362" w:tentative="1">
      <w:start w:val="1"/>
      <w:numFmt w:val="bullet"/>
      <w:lvlText w:val="●"/>
      <w:lvlJc w:val="left"/>
      <w:pPr>
        <w:tabs>
          <w:tab w:val="num" w:pos="1440"/>
        </w:tabs>
        <w:ind w:left="1440" w:hanging="360"/>
      </w:pPr>
      <w:rPr>
        <w:rFonts w:ascii="Livvic Light" w:hAnsi="Livvic Light" w:hint="default"/>
      </w:rPr>
    </w:lvl>
    <w:lvl w:ilvl="2" w:tplc="A63833DC" w:tentative="1">
      <w:start w:val="1"/>
      <w:numFmt w:val="bullet"/>
      <w:lvlText w:val="●"/>
      <w:lvlJc w:val="left"/>
      <w:pPr>
        <w:tabs>
          <w:tab w:val="num" w:pos="2160"/>
        </w:tabs>
        <w:ind w:left="2160" w:hanging="360"/>
      </w:pPr>
      <w:rPr>
        <w:rFonts w:ascii="Livvic Light" w:hAnsi="Livvic Light" w:hint="default"/>
      </w:rPr>
    </w:lvl>
    <w:lvl w:ilvl="3" w:tplc="E8D6D5FE" w:tentative="1">
      <w:start w:val="1"/>
      <w:numFmt w:val="bullet"/>
      <w:lvlText w:val="●"/>
      <w:lvlJc w:val="left"/>
      <w:pPr>
        <w:tabs>
          <w:tab w:val="num" w:pos="2880"/>
        </w:tabs>
        <w:ind w:left="2880" w:hanging="360"/>
      </w:pPr>
      <w:rPr>
        <w:rFonts w:ascii="Livvic Light" w:hAnsi="Livvic Light" w:hint="default"/>
      </w:rPr>
    </w:lvl>
    <w:lvl w:ilvl="4" w:tplc="0F9E9458" w:tentative="1">
      <w:start w:val="1"/>
      <w:numFmt w:val="bullet"/>
      <w:lvlText w:val="●"/>
      <w:lvlJc w:val="left"/>
      <w:pPr>
        <w:tabs>
          <w:tab w:val="num" w:pos="3600"/>
        </w:tabs>
        <w:ind w:left="3600" w:hanging="360"/>
      </w:pPr>
      <w:rPr>
        <w:rFonts w:ascii="Livvic Light" w:hAnsi="Livvic Light" w:hint="default"/>
      </w:rPr>
    </w:lvl>
    <w:lvl w:ilvl="5" w:tplc="780AA46A" w:tentative="1">
      <w:start w:val="1"/>
      <w:numFmt w:val="bullet"/>
      <w:lvlText w:val="●"/>
      <w:lvlJc w:val="left"/>
      <w:pPr>
        <w:tabs>
          <w:tab w:val="num" w:pos="4320"/>
        </w:tabs>
        <w:ind w:left="4320" w:hanging="360"/>
      </w:pPr>
      <w:rPr>
        <w:rFonts w:ascii="Livvic Light" w:hAnsi="Livvic Light" w:hint="default"/>
      </w:rPr>
    </w:lvl>
    <w:lvl w:ilvl="6" w:tplc="015A4C48" w:tentative="1">
      <w:start w:val="1"/>
      <w:numFmt w:val="bullet"/>
      <w:lvlText w:val="●"/>
      <w:lvlJc w:val="left"/>
      <w:pPr>
        <w:tabs>
          <w:tab w:val="num" w:pos="5040"/>
        </w:tabs>
        <w:ind w:left="5040" w:hanging="360"/>
      </w:pPr>
      <w:rPr>
        <w:rFonts w:ascii="Livvic Light" w:hAnsi="Livvic Light" w:hint="default"/>
      </w:rPr>
    </w:lvl>
    <w:lvl w:ilvl="7" w:tplc="E96EA18E" w:tentative="1">
      <w:start w:val="1"/>
      <w:numFmt w:val="bullet"/>
      <w:lvlText w:val="●"/>
      <w:lvlJc w:val="left"/>
      <w:pPr>
        <w:tabs>
          <w:tab w:val="num" w:pos="5760"/>
        </w:tabs>
        <w:ind w:left="5760" w:hanging="360"/>
      </w:pPr>
      <w:rPr>
        <w:rFonts w:ascii="Livvic Light" w:hAnsi="Livvic Light" w:hint="default"/>
      </w:rPr>
    </w:lvl>
    <w:lvl w:ilvl="8" w:tplc="4582DF44" w:tentative="1">
      <w:start w:val="1"/>
      <w:numFmt w:val="bullet"/>
      <w:lvlText w:val="●"/>
      <w:lvlJc w:val="left"/>
      <w:pPr>
        <w:tabs>
          <w:tab w:val="num" w:pos="6480"/>
        </w:tabs>
        <w:ind w:left="6480" w:hanging="360"/>
      </w:pPr>
      <w:rPr>
        <w:rFonts w:ascii="Livvic Light" w:hAnsi="Livvic Light" w:hint="default"/>
      </w:r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A7826D3"/>
    <w:multiLevelType w:val="hybridMultilevel"/>
    <w:tmpl w:val="4E826B12"/>
    <w:lvl w:ilvl="0" w:tplc="EE5E3BCC">
      <w:start w:val="1"/>
      <w:numFmt w:val="bullet"/>
      <w:lvlText w:val="●"/>
      <w:lvlJc w:val="left"/>
      <w:pPr>
        <w:tabs>
          <w:tab w:val="num" w:pos="720"/>
        </w:tabs>
        <w:ind w:left="720" w:hanging="360"/>
      </w:pPr>
      <w:rPr>
        <w:rFonts w:ascii="Livvic Light" w:hAnsi="Livvic Light" w:hint="default"/>
      </w:rPr>
    </w:lvl>
    <w:lvl w:ilvl="1" w:tplc="79EE44F0" w:tentative="1">
      <w:start w:val="1"/>
      <w:numFmt w:val="bullet"/>
      <w:lvlText w:val="●"/>
      <w:lvlJc w:val="left"/>
      <w:pPr>
        <w:tabs>
          <w:tab w:val="num" w:pos="1440"/>
        </w:tabs>
        <w:ind w:left="1440" w:hanging="360"/>
      </w:pPr>
      <w:rPr>
        <w:rFonts w:ascii="Livvic Light" w:hAnsi="Livvic Light" w:hint="default"/>
      </w:rPr>
    </w:lvl>
    <w:lvl w:ilvl="2" w:tplc="0FE2CC46" w:tentative="1">
      <w:start w:val="1"/>
      <w:numFmt w:val="bullet"/>
      <w:lvlText w:val="●"/>
      <w:lvlJc w:val="left"/>
      <w:pPr>
        <w:tabs>
          <w:tab w:val="num" w:pos="2160"/>
        </w:tabs>
        <w:ind w:left="2160" w:hanging="360"/>
      </w:pPr>
      <w:rPr>
        <w:rFonts w:ascii="Livvic Light" w:hAnsi="Livvic Light" w:hint="default"/>
      </w:rPr>
    </w:lvl>
    <w:lvl w:ilvl="3" w:tplc="4088F7D2" w:tentative="1">
      <w:start w:val="1"/>
      <w:numFmt w:val="bullet"/>
      <w:lvlText w:val="●"/>
      <w:lvlJc w:val="left"/>
      <w:pPr>
        <w:tabs>
          <w:tab w:val="num" w:pos="2880"/>
        </w:tabs>
        <w:ind w:left="2880" w:hanging="360"/>
      </w:pPr>
      <w:rPr>
        <w:rFonts w:ascii="Livvic Light" w:hAnsi="Livvic Light" w:hint="default"/>
      </w:rPr>
    </w:lvl>
    <w:lvl w:ilvl="4" w:tplc="BCFA76CC" w:tentative="1">
      <w:start w:val="1"/>
      <w:numFmt w:val="bullet"/>
      <w:lvlText w:val="●"/>
      <w:lvlJc w:val="left"/>
      <w:pPr>
        <w:tabs>
          <w:tab w:val="num" w:pos="3600"/>
        </w:tabs>
        <w:ind w:left="3600" w:hanging="360"/>
      </w:pPr>
      <w:rPr>
        <w:rFonts w:ascii="Livvic Light" w:hAnsi="Livvic Light" w:hint="default"/>
      </w:rPr>
    </w:lvl>
    <w:lvl w:ilvl="5" w:tplc="FB2C80A6" w:tentative="1">
      <w:start w:val="1"/>
      <w:numFmt w:val="bullet"/>
      <w:lvlText w:val="●"/>
      <w:lvlJc w:val="left"/>
      <w:pPr>
        <w:tabs>
          <w:tab w:val="num" w:pos="4320"/>
        </w:tabs>
        <w:ind w:left="4320" w:hanging="360"/>
      </w:pPr>
      <w:rPr>
        <w:rFonts w:ascii="Livvic Light" w:hAnsi="Livvic Light" w:hint="default"/>
      </w:rPr>
    </w:lvl>
    <w:lvl w:ilvl="6" w:tplc="FC5E4FCC" w:tentative="1">
      <w:start w:val="1"/>
      <w:numFmt w:val="bullet"/>
      <w:lvlText w:val="●"/>
      <w:lvlJc w:val="left"/>
      <w:pPr>
        <w:tabs>
          <w:tab w:val="num" w:pos="5040"/>
        </w:tabs>
        <w:ind w:left="5040" w:hanging="360"/>
      </w:pPr>
      <w:rPr>
        <w:rFonts w:ascii="Livvic Light" w:hAnsi="Livvic Light" w:hint="default"/>
      </w:rPr>
    </w:lvl>
    <w:lvl w:ilvl="7" w:tplc="9E661FF6" w:tentative="1">
      <w:start w:val="1"/>
      <w:numFmt w:val="bullet"/>
      <w:lvlText w:val="●"/>
      <w:lvlJc w:val="left"/>
      <w:pPr>
        <w:tabs>
          <w:tab w:val="num" w:pos="5760"/>
        </w:tabs>
        <w:ind w:left="5760" w:hanging="360"/>
      </w:pPr>
      <w:rPr>
        <w:rFonts w:ascii="Livvic Light" w:hAnsi="Livvic Light" w:hint="default"/>
      </w:rPr>
    </w:lvl>
    <w:lvl w:ilvl="8" w:tplc="75B2AE12" w:tentative="1">
      <w:start w:val="1"/>
      <w:numFmt w:val="bullet"/>
      <w:lvlText w:val="●"/>
      <w:lvlJc w:val="left"/>
      <w:pPr>
        <w:tabs>
          <w:tab w:val="num" w:pos="6480"/>
        </w:tabs>
        <w:ind w:left="6480" w:hanging="360"/>
      </w:pPr>
      <w:rPr>
        <w:rFonts w:ascii="Livvic Light" w:hAnsi="Livvic Light" w:hint="default"/>
      </w:r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12"/>
  </w:num>
  <w:num w:numId="4">
    <w:abstractNumId w:val="30"/>
  </w:num>
  <w:num w:numId="5">
    <w:abstractNumId w:val="22"/>
  </w:num>
  <w:num w:numId="6">
    <w:abstractNumId w:val="18"/>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3"/>
  </w:num>
  <w:num w:numId="23">
    <w:abstractNumId w:val="16"/>
  </w:num>
  <w:num w:numId="24">
    <w:abstractNumId w:val="29"/>
  </w:num>
  <w:num w:numId="25">
    <w:abstractNumId w:val="25"/>
  </w:num>
  <w:num w:numId="26">
    <w:abstractNumId w:val="19"/>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5"/>
  </w:num>
  <w:num w:numId="31">
    <w:abstractNumId w:val="14"/>
  </w:num>
  <w:num w:numId="32">
    <w:abstractNumId w:val="10"/>
  </w:num>
  <w:num w:numId="33">
    <w:abstractNumId w:val="13"/>
  </w:num>
  <w:num w:numId="34">
    <w:abstractNumId w:val="32"/>
  </w:num>
  <w:num w:numId="35">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6335"/>
    <w:rsid w:val="00047398"/>
    <w:rsid w:val="00050EEF"/>
    <w:rsid w:val="00052A1A"/>
    <w:rsid w:val="00052C34"/>
    <w:rsid w:val="000534C8"/>
    <w:rsid w:val="00056777"/>
    <w:rsid w:val="00062D29"/>
    <w:rsid w:val="000713CD"/>
    <w:rsid w:val="00072E69"/>
    <w:rsid w:val="0007392C"/>
    <w:rsid w:val="000739F9"/>
    <w:rsid w:val="00077680"/>
    <w:rsid w:val="000778C1"/>
    <w:rsid w:val="00080E27"/>
    <w:rsid w:val="000819C0"/>
    <w:rsid w:val="0008431E"/>
    <w:rsid w:val="000914E0"/>
    <w:rsid w:val="000C050B"/>
    <w:rsid w:val="000C49A9"/>
    <w:rsid w:val="000E118B"/>
    <w:rsid w:val="000E278E"/>
    <w:rsid w:val="000E64FC"/>
    <w:rsid w:val="000E7A87"/>
    <w:rsid w:val="000F6090"/>
    <w:rsid w:val="001041A3"/>
    <w:rsid w:val="0010534D"/>
    <w:rsid w:val="001114D1"/>
    <w:rsid w:val="00111607"/>
    <w:rsid w:val="00117621"/>
    <w:rsid w:val="00125AC6"/>
    <w:rsid w:val="00127D30"/>
    <w:rsid w:val="0013113A"/>
    <w:rsid w:val="001313A0"/>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97F7C"/>
    <w:rsid w:val="001A06AF"/>
    <w:rsid w:val="001A43B1"/>
    <w:rsid w:val="001A71BB"/>
    <w:rsid w:val="001B29D6"/>
    <w:rsid w:val="001D5887"/>
    <w:rsid w:val="001D7E09"/>
    <w:rsid w:val="001E2720"/>
    <w:rsid w:val="001E71D7"/>
    <w:rsid w:val="001F27BB"/>
    <w:rsid w:val="0020294A"/>
    <w:rsid w:val="002233F8"/>
    <w:rsid w:val="00245119"/>
    <w:rsid w:val="00250FEF"/>
    <w:rsid w:val="00252596"/>
    <w:rsid w:val="0025311B"/>
    <w:rsid w:val="00254A12"/>
    <w:rsid w:val="00256B11"/>
    <w:rsid w:val="00264B6B"/>
    <w:rsid w:val="00267F81"/>
    <w:rsid w:val="00270347"/>
    <w:rsid w:val="0027195D"/>
    <w:rsid w:val="002738DA"/>
    <w:rsid w:val="00282789"/>
    <w:rsid w:val="00290DF5"/>
    <w:rsid w:val="00292645"/>
    <w:rsid w:val="0029583F"/>
    <w:rsid w:val="002A517A"/>
    <w:rsid w:val="002B01E4"/>
    <w:rsid w:val="002B1F59"/>
    <w:rsid w:val="002D0AFB"/>
    <w:rsid w:val="002D26C4"/>
    <w:rsid w:val="002D66F1"/>
    <w:rsid w:val="002F069E"/>
    <w:rsid w:val="002F1FE7"/>
    <w:rsid w:val="002F2289"/>
    <w:rsid w:val="002F2EB2"/>
    <w:rsid w:val="00301545"/>
    <w:rsid w:val="00303FAD"/>
    <w:rsid w:val="003057B1"/>
    <w:rsid w:val="00307501"/>
    <w:rsid w:val="00312ED0"/>
    <w:rsid w:val="00317850"/>
    <w:rsid w:val="00321DDC"/>
    <w:rsid w:val="00323F6F"/>
    <w:rsid w:val="0032775A"/>
    <w:rsid w:val="0033342D"/>
    <w:rsid w:val="003342CD"/>
    <w:rsid w:val="00336D12"/>
    <w:rsid w:val="0034235E"/>
    <w:rsid w:val="00343245"/>
    <w:rsid w:val="00356296"/>
    <w:rsid w:val="00357596"/>
    <w:rsid w:val="00357671"/>
    <w:rsid w:val="00367BB6"/>
    <w:rsid w:val="00373175"/>
    <w:rsid w:val="0037572A"/>
    <w:rsid w:val="00376CCC"/>
    <w:rsid w:val="0038080D"/>
    <w:rsid w:val="00390853"/>
    <w:rsid w:val="00392395"/>
    <w:rsid w:val="003936B1"/>
    <w:rsid w:val="003944CF"/>
    <w:rsid w:val="0039757D"/>
    <w:rsid w:val="003A1ABD"/>
    <w:rsid w:val="003B1CA3"/>
    <w:rsid w:val="003B44F3"/>
    <w:rsid w:val="003C3338"/>
    <w:rsid w:val="003D0DD2"/>
    <w:rsid w:val="003D544B"/>
    <w:rsid w:val="003D7001"/>
    <w:rsid w:val="003E3E8B"/>
    <w:rsid w:val="003E6247"/>
    <w:rsid w:val="003E7262"/>
    <w:rsid w:val="003F4297"/>
    <w:rsid w:val="003F5DAE"/>
    <w:rsid w:val="003F5F3D"/>
    <w:rsid w:val="003F7CA2"/>
    <w:rsid w:val="004128EE"/>
    <w:rsid w:val="00421DF6"/>
    <w:rsid w:val="00427C7D"/>
    <w:rsid w:val="0043196E"/>
    <w:rsid w:val="00431CB0"/>
    <w:rsid w:val="00434CB2"/>
    <w:rsid w:val="00452E5F"/>
    <w:rsid w:val="00455C71"/>
    <w:rsid w:val="0046042C"/>
    <w:rsid w:val="00472729"/>
    <w:rsid w:val="0048106F"/>
    <w:rsid w:val="0048126B"/>
    <w:rsid w:val="004825CE"/>
    <w:rsid w:val="004836A6"/>
    <w:rsid w:val="00492EF4"/>
    <w:rsid w:val="004947C9"/>
    <w:rsid w:val="00495781"/>
    <w:rsid w:val="00497365"/>
    <w:rsid w:val="004A20B7"/>
    <w:rsid w:val="004A3498"/>
    <w:rsid w:val="004A7556"/>
    <w:rsid w:val="004B0BF6"/>
    <w:rsid w:val="004C1EDF"/>
    <w:rsid w:val="004C49F3"/>
    <w:rsid w:val="004C6B2D"/>
    <w:rsid w:val="004F2828"/>
    <w:rsid w:val="004F3BF8"/>
    <w:rsid w:val="0050103C"/>
    <w:rsid w:val="005041C6"/>
    <w:rsid w:val="00504C8B"/>
    <w:rsid w:val="00506EF6"/>
    <w:rsid w:val="005142F4"/>
    <w:rsid w:val="005153AC"/>
    <w:rsid w:val="005155D8"/>
    <w:rsid w:val="005160AB"/>
    <w:rsid w:val="00523CD9"/>
    <w:rsid w:val="00540C55"/>
    <w:rsid w:val="00551881"/>
    <w:rsid w:val="005528F6"/>
    <w:rsid w:val="0058578F"/>
    <w:rsid w:val="00586A35"/>
    <w:rsid w:val="005927BE"/>
    <w:rsid w:val="00596082"/>
    <w:rsid w:val="00596F2A"/>
    <w:rsid w:val="005B2ED3"/>
    <w:rsid w:val="005B493F"/>
    <w:rsid w:val="005C0062"/>
    <w:rsid w:val="005C00C2"/>
    <w:rsid w:val="005C3D72"/>
    <w:rsid w:val="005C5E36"/>
    <w:rsid w:val="005D0695"/>
    <w:rsid w:val="005D0CCE"/>
    <w:rsid w:val="005D7E6E"/>
    <w:rsid w:val="005E22A3"/>
    <w:rsid w:val="005F30FF"/>
    <w:rsid w:val="00607A60"/>
    <w:rsid w:val="0061273A"/>
    <w:rsid w:val="00612C56"/>
    <w:rsid w:val="00612E4E"/>
    <w:rsid w:val="0062787C"/>
    <w:rsid w:val="006317A6"/>
    <w:rsid w:val="0063608B"/>
    <w:rsid w:val="00644AC8"/>
    <w:rsid w:val="00647107"/>
    <w:rsid w:val="00650463"/>
    <w:rsid w:val="006514CD"/>
    <w:rsid w:val="00651556"/>
    <w:rsid w:val="00651968"/>
    <w:rsid w:val="0065275A"/>
    <w:rsid w:val="00654D92"/>
    <w:rsid w:val="00660A05"/>
    <w:rsid w:val="00670649"/>
    <w:rsid w:val="00671953"/>
    <w:rsid w:val="00671965"/>
    <w:rsid w:val="00675128"/>
    <w:rsid w:val="0069472B"/>
    <w:rsid w:val="00694749"/>
    <w:rsid w:val="006978B2"/>
    <w:rsid w:val="006A22F6"/>
    <w:rsid w:val="006A29E8"/>
    <w:rsid w:val="006A300B"/>
    <w:rsid w:val="006B4623"/>
    <w:rsid w:val="006C4BE3"/>
    <w:rsid w:val="006D0E9B"/>
    <w:rsid w:val="006D2239"/>
    <w:rsid w:val="006E0D12"/>
    <w:rsid w:val="006E4407"/>
    <w:rsid w:val="006E7653"/>
    <w:rsid w:val="006F050A"/>
    <w:rsid w:val="006F1681"/>
    <w:rsid w:val="00701FA6"/>
    <w:rsid w:val="0070306F"/>
    <w:rsid w:val="0070473B"/>
    <w:rsid w:val="0070531E"/>
    <w:rsid w:val="007107BE"/>
    <w:rsid w:val="00717FB2"/>
    <w:rsid w:val="007249CB"/>
    <w:rsid w:val="00727914"/>
    <w:rsid w:val="00727EBD"/>
    <w:rsid w:val="00732243"/>
    <w:rsid w:val="00732D22"/>
    <w:rsid w:val="007334C1"/>
    <w:rsid w:val="00743328"/>
    <w:rsid w:val="00744C94"/>
    <w:rsid w:val="007451FF"/>
    <w:rsid w:val="00745373"/>
    <w:rsid w:val="00747C26"/>
    <w:rsid w:val="00747E69"/>
    <w:rsid w:val="00751EC1"/>
    <w:rsid w:val="00752225"/>
    <w:rsid w:val="00753548"/>
    <w:rsid w:val="00761780"/>
    <w:rsid w:val="00764059"/>
    <w:rsid w:val="007647B0"/>
    <w:rsid w:val="00765265"/>
    <w:rsid w:val="007800CE"/>
    <w:rsid w:val="00780227"/>
    <w:rsid w:val="007864E0"/>
    <w:rsid w:val="00793451"/>
    <w:rsid w:val="00793808"/>
    <w:rsid w:val="0079682F"/>
    <w:rsid w:val="00797D60"/>
    <w:rsid w:val="007A3F4E"/>
    <w:rsid w:val="007A481F"/>
    <w:rsid w:val="007A502C"/>
    <w:rsid w:val="007A579F"/>
    <w:rsid w:val="007C1092"/>
    <w:rsid w:val="007C57E7"/>
    <w:rsid w:val="007D3C28"/>
    <w:rsid w:val="007E045E"/>
    <w:rsid w:val="007E0B4F"/>
    <w:rsid w:val="007E7648"/>
    <w:rsid w:val="007F23B8"/>
    <w:rsid w:val="007F2D1D"/>
    <w:rsid w:val="00802E06"/>
    <w:rsid w:val="008051C3"/>
    <w:rsid w:val="00810CE2"/>
    <w:rsid w:val="008150D4"/>
    <w:rsid w:val="008175C0"/>
    <w:rsid w:val="00824131"/>
    <w:rsid w:val="008313F7"/>
    <w:rsid w:val="008321E3"/>
    <w:rsid w:val="0083735E"/>
    <w:rsid w:val="00837CBF"/>
    <w:rsid w:val="00843705"/>
    <w:rsid w:val="00847A31"/>
    <w:rsid w:val="00850D0C"/>
    <w:rsid w:val="0085553A"/>
    <w:rsid w:val="00871E83"/>
    <w:rsid w:val="008866DF"/>
    <w:rsid w:val="0089066F"/>
    <w:rsid w:val="00891A1D"/>
    <w:rsid w:val="008949E1"/>
    <w:rsid w:val="008A61DE"/>
    <w:rsid w:val="008A665A"/>
    <w:rsid w:val="008B1EFD"/>
    <w:rsid w:val="008B710D"/>
    <w:rsid w:val="008C6E83"/>
    <w:rsid w:val="008C72C9"/>
    <w:rsid w:val="008D4A83"/>
    <w:rsid w:val="008F2C83"/>
    <w:rsid w:val="008F6FB8"/>
    <w:rsid w:val="009010B7"/>
    <w:rsid w:val="00906895"/>
    <w:rsid w:val="009073E1"/>
    <w:rsid w:val="009115ED"/>
    <w:rsid w:val="0092209C"/>
    <w:rsid w:val="00922D48"/>
    <w:rsid w:val="009268B7"/>
    <w:rsid w:val="00926E45"/>
    <w:rsid w:val="009314FA"/>
    <w:rsid w:val="00931F2B"/>
    <w:rsid w:val="00932662"/>
    <w:rsid w:val="00934FE1"/>
    <w:rsid w:val="00936367"/>
    <w:rsid w:val="00936F8D"/>
    <w:rsid w:val="00945175"/>
    <w:rsid w:val="0095071A"/>
    <w:rsid w:val="00955704"/>
    <w:rsid w:val="00962503"/>
    <w:rsid w:val="00964329"/>
    <w:rsid w:val="00966299"/>
    <w:rsid w:val="009668DE"/>
    <w:rsid w:val="00976413"/>
    <w:rsid w:val="00982C4C"/>
    <w:rsid w:val="00986039"/>
    <w:rsid w:val="009923C7"/>
    <w:rsid w:val="009949CD"/>
    <w:rsid w:val="00996C04"/>
    <w:rsid w:val="009978A7"/>
    <w:rsid w:val="009B00DC"/>
    <w:rsid w:val="009B7559"/>
    <w:rsid w:val="009D2669"/>
    <w:rsid w:val="009D3C3B"/>
    <w:rsid w:val="009D46EA"/>
    <w:rsid w:val="009E56C5"/>
    <w:rsid w:val="009F2833"/>
    <w:rsid w:val="009F6069"/>
    <w:rsid w:val="00A012F5"/>
    <w:rsid w:val="00A12291"/>
    <w:rsid w:val="00A12EA6"/>
    <w:rsid w:val="00A15152"/>
    <w:rsid w:val="00A155F9"/>
    <w:rsid w:val="00A164B7"/>
    <w:rsid w:val="00A21DEF"/>
    <w:rsid w:val="00A319FD"/>
    <w:rsid w:val="00A462C6"/>
    <w:rsid w:val="00A47E7F"/>
    <w:rsid w:val="00A55023"/>
    <w:rsid w:val="00A739CB"/>
    <w:rsid w:val="00A75047"/>
    <w:rsid w:val="00A80B73"/>
    <w:rsid w:val="00A8507F"/>
    <w:rsid w:val="00A91E16"/>
    <w:rsid w:val="00A95518"/>
    <w:rsid w:val="00AA10C4"/>
    <w:rsid w:val="00AA57D8"/>
    <w:rsid w:val="00AA5BF1"/>
    <w:rsid w:val="00AA6E2B"/>
    <w:rsid w:val="00AB0733"/>
    <w:rsid w:val="00AB21AA"/>
    <w:rsid w:val="00AB2327"/>
    <w:rsid w:val="00AC4630"/>
    <w:rsid w:val="00AD0294"/>
    <w:rsid w:val="00AE1E64"/>
    <w:rsid w:val="00AF6ABC"/>
    <w:rsid w:val="00B13E4F"/>
    <w:rsid w:val="00B14E51"/>
    <w:rsid w:val="00B15A21"/>
    <w:rsid w:val="00B1638F"/>
    <w:rsid w:val="00B25737"/>
    <w:rsid w:val="00B320F1"/>
    <w:rsid w:val="00B33269"/>
    <w:rsid w:val="00B350C9"/>
    <w:rsid w:val="00B3715C"/>
    <w:rsid w:val="00B4052C"/>
    <w:rsid w:val="00B41CB4"/>
    <w:rsid w:val="00B43D73"/>
    <w:rsid w:val="00B44874"/>
    <w:rsid w:val="00B46551"/>
    <w:rsid w:val="00B50C65"/>
    <w:rsid w:val="00B51DB5"/>
    <w:rsid w:val="00B61445"/>
    <w:rsid w:val="00B61DDD"/>
    <w:rsid w:val="00B64D49"/>
    <w:rsid w:val="00B64DD4"/>
    <w:rsid w:val="00B64F13"/>
    <w:rsid w:val="00B73DEA"/>
    <w:rsid w:val="00BA00DF"/>
    <w:rsid w:val="00BA5432"/>
    <w:rsid w:val="00BA7DD8"/>
    <w:rsid w:val="00BB333E"/>
    <w:rsid w:val="00BC5BDA"/>
    <w:rsid w:val="00BD304D"/>
    <w:rsid w:val="00BD61E5"/>
    <w:rsid w:val="00BD793B"/>
    <w:rsid w:val="00BE1928"/>
    <w:rsid w:val="00BE7F58"/>
    <w:rsid w:val="00BF3AEE"/>
    <w:rsid w:val="00BF3D6B"/>
    <w:rsid w:val="00C01FC0"/>
    <w:rsid w:val="00C03DCA"/>
    <w:rsid w:val="00C06212"/>
    <w:rsid w:val="00C1142C"/>
    <w:rsid w:val="00C14A4F"/>
    <w:rsid w:val="00C171A7"/>
    <w:rsid w:val="00C32613"/>
    <w:rsid w:val="00C41AE1"/>
    <w:rsid w:val="00C44ED5"/>
    <w:rsid w:val="00C4538D"/>
    <w:rsid w:val="00C461FF"/>
    <w:rsid w:val="00C50274"/>
    <w:rsid w:val="00C5423E"/>
    <w:rsid w:val="00C60194"/>
    <w:rsid w:val="00C72FAB"/>
    <w:rsid w:val="00C822AF"/>
    <w:rsid w:val="00C90428"/>
    <w:rsid w:val="00C9472A"/>
    <w:rsid w:val="00C959EA"/>
    <w:rsid w:val="00C95C6E"/>
    <w:rsid w:val="00C96C07"/>
    <w:rsid w:val="00CA0912"/>
    <w:rsid w:val="00CA17C5"/>
    <w:rsid w:val="00CA4F92"/>
    <w:rsid w:val="00CB6709"/>
    <w:rsid w:val="00CC2FE0"/>
    <w:rsid w:val="00CD4663"/>
    <w:rsid w:val="00CE3B21"/>
    <w:rsid w:val="00CE752A"/>
    <w:rsid w:val="00CF2B1E"/>
    <w:rsid w:val="00CF39D4"/>
    <w:rsid w:val="00D04103"/>
    <w:rsid w:val="00D07B73"/>
    <w:rsid w:val="00D24AA4"/>
    <w:rsid w:val="00D31EBA"/>
    <w:rsid w:val="00D341FA"/>
    <w:rsid w:val="00D34435"/>
    <w:rsid w:val="00D47BCC"/>
    <w:rsid w:val="00D658B3"/>
    <w:rsid w:val="00D70484"/>
    <w:rsid w:val="00D70EDE"/>
    <w:rsid w:val="00D92217"/>
    <w:rsid w:val="00D9290D"/>
    <w:rsid w:val="00DA1B29"/>
    <w:rsid w:val="00DC112E"/>
    <w:rsid w:val="00DC1C49"/>
    <w:rsid w:val="00DC4B20"/>
    <w:rsid w:val="00DC4FC9"/>
    <w:rsid w:val="00DD476E"/>
    <w:rsid w:val="00DD5335"/>
    <w:rsid w:val="00DE0F78"/>
    <w:rsid w:val="00DF0E97"/>
    <w:rsid w:val="00DF6224"/>
    <w:rsid w:val="00E016B0"/>
    <w:rsid w:val="00E04496"/>
    <w:rsid w:val="00E1127E"/>
    <w:rsid w:val="00E13CDC"/>
    <w:rsid w:val="00E21289"/>
    <w:rsid w:val="00E2212F"/>
    <w:rsid w:val="00E238F9"/>
    <w:rsid w:val="00E251D2"/>
    <w:rsid w:val="00E270D5"/>
    <w:rsid w:val="00E27659"/>
    <w:rsid w:val="00E27DB2"/>
    <w:rsid w:val="00E320C3"/>
    <w:rsid w:val="00E36BC9"/>
    <w:rsid w:val="00E4258B"/>
    <w:rsid w:val="00E51B27"/>
    <w:rsid w:val="00E6021E"/>
    <w:rsid w:val="00E71D5C"/>
    <w:rsid w:val="00E83192"/>
    <w:rsid w:val="00E834D5"/>
    <w:rsid w:val="00E85A65"/>
    <w:rsid w:val="00E87E12"/>
    <w:rsid w:val="00E943FF"/>
    <w:rsid w:val="00EA18AE"/>
    <w:rsid w:val="00EA33FF"/>
    <w:rsid w:val="00EB0977"/>
    <w:rsid w:val="00EB13C5"/>
    <w:rsid w:val="00EB2E12"/>
    <w:rsid w:val="00EB3672"/>
    <w:rsid w:val="00EB3F7D"/>
    <w:rsid w:val="00EB49FA"/>
    <w:rsid w:val="00EB5854"/>
    <w:rsid w:val="00EB67B9"/>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82310"/>
    <w:rsid w:val="00F91DFA"/>
    <w:rsid w:val="00F95288"/>
    <w:rsid w:val="00F9791B"/>
    <w:rsid w:val="00FA06F5"/>
    <w:rsid w:val="00FA313D"/>
    <w:rsid w:val="00FB2AFC"/>
    <w:rsid w:val="00FB7A39"/>
    <w:rsid w:val="00FC0E1D"/>
    <w:rsid w:val="00FC53DA"/>
    <w:rsid w:val="00FD16A9"/>
    <w:rsid w:val="00FD68B1"/>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4F2DE4"/>
  <w15:docId w15:val="{A55947F5-93FD-4332-BB2A-69E6B983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4A20B7"/>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CA0912"/>
    <w:pPr>
      <w:ind w:left="36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uiPriority w:val="99"/>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FA0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17649690">
      <w:bodyDiv w:val="1"/>
      <w:marLeft w:val="0"/>
      <w:marRight w:val="0"/>
      <w:marTop w:val="0"/>
      <w:marBottom w:val="0"/>
      <w:divBdr>
        <w:top w:val="none" w:sz="0" w:space="0" w:color="auto"/>
        <w:left w:val="none" w:sz="0" w:space="0" w:color="auto"/>
        <w:bottom w:val="none" w:sz="0" w:space="0" w:color="auto"/>
        <w:right w:val="none" w:sz="0" w:space="0" w:color="auto"/>
      </w:divBdr>
    </w:div>
    <w:div w:id="124349676">
      <w:bodyDiv w:val="1"/>
      <w:marLeft w:val="0"/>
      <w:marRight w:val="0"/>
      <w:marTop w:val="0"/>
      <w:marBottom w:val="0"/>
      <w:divBdr>
        <w:top w:val="none" w:sz="0" w:space="0" w:color="auto"/>
        <w:left w:val="none" w:sz="0" w:space="0" w:color="auto"/>
        <w:bottom w:val="none" w:sz="0" w:space="0" w:color="auto"/>
        <w:right w:val="none" w:sz="0" w:space="0" w:color="auto"/>
      </w:divBdr>
    </w:div>
    <w:div w:id="157035959">
      <w:bodyDiv w:val="1"/>
      <w:marLeft w:val="0"/>
      <w:marRight w:val="0"/>
      <w:marTop w:val="0"/>
      <w:marBottom w:val="0"/>
      <w:divBdr>
        <w:top w:val="none" w:sz="0" w:space="0" w:color="auto"/>
        <w:left w:val="none" w:sz="0" w:space="0" w:color="auto"/>
        <w:bottom w:val="none" w:sz="0" w:space="0" w:color="auto"/>
        <w:right w:val="none" w:sz="0" w:space="0" w:color="auto"/>
      </w:divBdr>
    </w:div>
    <w:div w:id="27841605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8308166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50775712">
      <w:bodyDiv w:val="1"/>
      <w:marLeft w:val="0"/>
      <w:marRight w:val="0"/>
      <w:marTop w:val="0"/>
      <w:marBottom w:val="0"/>
      <w:divBdr>
        <w:top w:val="none" w:sz="0" w:space="0" w:color="auto"/>
        <w:left w:val="none" w:sz="0" w:space="0" w:color="auto"/>
        <w:bottom w:val="none" w:sz="0" w:space="0" w:color="auto"/>
        <w:right w:val="none" w:sz="0" w:space="0" w:color="auto"/>
      </w:divBdr>
    </w:div>
    <w:div w:id="600532495">
      <w:bodyDiv w:val="1"/>
      <w:marLeft w:val="0"/>
      <w:marRight w:val="0"/>
      <w:marTop w:val="0"/>
      <w:marBottom w:val="0"/>
      <w:divBdr>
        <w:top w:val="none" w:sz="0" w:space="0" w:color="auto"/>
        <w:left w:val="none" w:sz="0" w:space="0" w:color="auto"/>
        <w:bottom w:val="none" w:sz="0" w:space="0" w:color="auto"/>
        <w:right w:val="none" w:sz="0" w:space="0" w:color="auto"/>
      </w:divBdr>
    </w:div>
    <w:div w:id="602415592">
      <w:bodyDiv w:val="1"/>
      <w:marLeft w:val="0"/>
      <w:marRight w:val="0"/>
      <w:marTop w:val="0"/>
      <w:marBottom w:val="0"/>
      <w:divBdr>
        <w:top w:val="none" w:sz="0" w:space="0" w:color="auto"/>
        <w:left w:val="none" w:sz="0" w:space="0" w:color="auto"/>
        <w:bottom w:val="none" w:sz="0" w:space="0" w:color="auto"/>
        <w:right w:val="none" w:sz="0" w:space="0" w:color="auto"/>
      </w:divBdr>
    </w:div>
    <w:div w:id="65334276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238516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5113410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82491511">
      <w:bodyDiv w:val="1"/>
      <w:marLeft w:val="0"/>
      <w:marRight w:val="0"/>
      <w:marTop w:val="0"/>
      <w:marBottom w:val="0"/>
      <w:divBdr>
        <w:top w:val="none" w:sz="0" w:space="0" w:color="auto"/>
        <w:left w:val="none" w:sz="0" w:space="0" w:color="auto"/>
        <w:bottom w:val="none" w:sz="0" w:space="0" w:color="auto"/>
        <w:right w:val="none" w:sz="0" w:space="0" w:color="auto"/>
      </w:divBdr>
      <w:divsChild>
        <w:div w:id="343288183">
          <w:marLeft w:val="274"/>
          <w:marRight w:val="0"/>
          <w:marTop w:val="320"/>
          <w:marBottom w:val="320"/>
          <w:divBdr>
            <w:top w:val="none" w:sz="0" w:space="0" w:color="auto"/>
            <w:left w:val="none" w:sz="0" w:space="0" w:color="auto"/>
            <w:bottom w:val="none" w:sz="0" w:space="0" w:color="auto"/>
            <w:right w:val="none" w:sz="0" w:space="0" w:color="auto"/>
          </w:divBdr>
        </w:div>
      </w:divsChild>
    </w:div>
    <w:div w:id="1350252911">
      <w:bodyDiv w:val="1"/>
      <w:marLeft w:val="0"/>
      <w:marRight w:val="0"/>
      <w:marTop w:val="0"/>
      <w:marBottom w:val="0"/>
      <w:divBdr>
        <w:top w:val="none" w:sz="0" w:space="0" w:color="auto"/>
        <w:left w:val="none" w:sz="0" w:space="0" w:color="auto"/>
        <w:bottom w:val="none" w:sz="0" w:space="0" w:color="auto"/>
        <w:right w:val="none" w:sz="0" w:space="0" w:color="auto"/>
      </w:divBdr>
      <w:divsChild>
        <w:div w:id="1491675171">
          <w:marLeft w:val="274"/>
          <w:marRight w:val="0"/>
          <w:marTop w:val="320"/>
          <w:marBottom w:val="32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87030213">
      <w:bodyDiv w:val="1"/>
      <w:marLeft w:val="0"/>
      <w:marRight w:val="0"/>
      <w:marTop w:val="0"/>
      <w:marBottom w:val="0"/>
      <w:divBdr>
        <w:top w:val="none" w:sz="0" w:space="0" w:color="auto"/>
        <w:left w:val="none" w:sz="0" w:space="0" w:color="auto"/>
        <w:bottom w:val="none" w:sz="0" w:space="0" w:color="auto"/>
        <w:right w:val="none" w:sz="0" w:space="0" w:color="auto"/>
      </w:divBdr>
      <w:divsChild>
        <w:div w:id="1556701480">
          <w:marLeft w:val="274"/>
          <w:marRight w:val="0"/>
          <w:marTop w:val="320"/>
          <w:marBottom w:val="320"/>
          <w:divBdr>
            <w:top w:val="none" w:sz="0" w:space="0" w:color="auto"/>
            <w:left w:val="none" w:sz="0" w:space="0" w:color="auto"/>
            <w:bottom w:val="none" w:sz="0" w:space="0" w:color="auto"/>
            <w:right w:val="none" w:sz="0" w:space="0" w:color="auto"/>
          </w:divBdr>
        </w:div>
      </w:divsChild>
    </w:div>
    <w:div w:id="1596671672">
      <w:bodyDiv w:val="1"/>
      <w:marLeft w:val="0"/>
      <w:marRight w:val="0"/>
      <w:marTop w:val="0"/>
      <w:marBottom w:val="0"/>
      <w:divBdr>
        <w:top w:val="none" w:sz="0" w:space="0" w:color="auto"/>
        <w:left w:val="none" w:sz="0" w:space="0" w:color="auto"/>
        <w:bottom w:val="none" w:sz="0" w:space="0" w:color="auto"/>
        <w:right w:val="none" w:sz="0" w:space="0" w:color="auto"/>
      </w:divBdr>
      <w:divsChild>
        <w:div w:id="1860584522">
          <w:marLeft w:val="274"/>
          <w:marRight w:val="0"/>
          <w:marTop w:val="320"/>
          <w:marBottom w:val="32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26259730">
      <w:bodyDiv w:val="1"/>
      <w:marLeft w:val="0"/>
      <w:marRight w:val="0"/>
      <w:marTop w:val="0"/>
      <w:marBottom w:val="0"/>
      <w:divBdr>
        <w:top w:val="none" w:sz="0" w:space="0" w:color="auto"/>
        <w:left w:val="none" w:sz="0" w:space="0" w:color="auto"/>
        <w:bottom w:val="none" w:sz="0" w:space="0" w:color="auto"/>
        <w:right w:val="none" w:sz="0" w:space="0" w:color="auto"/>
      </w:divBdr>
    </w:div>
    <w:div w:id="2024090709">
      <w:bodyDiv w:val="1"/>
      <w:marLeft w:val="0"/>
      <w:marRight w:val="0"/>
      <w:marTop w:val="0"/>
      <w:marBottom w:val="0"/>
      <w:divBdr>
        <w:top w:val="none" w:sz="0" w:space="0" w:color="auto"/>
        <w:left w:val="none" w:sz="0" w:space="0" w:color="auto"/>
        <w:bottom w:val="none" w:sz="0" w:space="0" w:color="auto"/>
        <w:right w:val="none" w:sz="0" w:space="0" w:color="auto"/>
      </w:divBdr>
    </w:div>
    <w:div w:id="2084987059">
      <w:bodyDiv w:val="1"/>
      <w:marLeft w:val="0"/>
      <w:marRight w:val="0"/>
      <w:marTop w:val="0"/>
      <w:marBottom w:val="0"/>
      <w:divBdr>
        <w:top w:val="none" w:sz="0" w:space="0" w:color="auto"/>
        <w:left w:val="none" w:sz="0" w:space="0" w:color="auto"/>
        <w:bottom w:val="none" w:sz="0" w:space="0" w:color="auto"/>
        <w:right w:val="none" w:sz="0" w:space="0" w:color="auto"/>
      </w:divBdr>
    </w:div>
    <w:div w:id="2106345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4198</TotalTime>
  <Pages>4</Pages>
  <Words>1957</Words>
  <Characters>11157</Characters>
  <Application>Microsoft Office Word</Application>
  <DocSecurity>0</DocSecurity>
  <Lines>92</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13088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
  <cp:lastModifiedBy>Kevin Sweet</cp:lastModifiedBy>
  <cp:revision>13</cp:revision>
  <cp:lastPrinted>2022-03-13T22:49:00Z</cp:lastPrinted>
  <dcterms:created xsi:type="dcterms:W3CDTF">2022-03-11T01:56:00Z</dcterms:created>
  <dcterms:modified xsi:type="dcterms:W3CDTF">2022-03-13T22:55:00Z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