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2D33F" w14:textId="77777777" w:rsidR="00F046ED" w:rsidRDefault="00F046ED" w:rsidP="00F046ED">
      <w:pPr>
        <w:pStyle w:val="Title"/>
        <w:jc w:val="center"/>
      </w:pPr>
      <w:bookmarkStart w:id="0" w:name="_Hlk90369264"/>
      <w:bookmarkEnd w:id="0"/>
    </w:p>
    <w:p w14:paraId="044A9332" w14:textId="77777777" w:rsidR="00F046ED" w:rsidRDefault="00F046ED" w:rsidP="00F046ED">
      <w:pPr>
        <w:pStyle w:val="Title"/>
        <w:jc w:val="center"/>
      </w:pPr>
    </w:p>
    <w:p w14:paraId="0D148363" w14:textId="77777777" w:rsidR="00F046ED" w:rsidRDefault="00F046ED" w:rsidP="00F046ED">
      <w:pPr>
        <w:pStyle w:val="Title"/>
        <w:jc w:val="center"/>
      </w:pPr>
    </w:p>
    <w:p w14:paraId="342BFF5C" w14:textId="77777777" w:rsidR="00F046ED" w:rsidRDefault="00F046ED" w:rsidP="00F046ED">
      <w:pPr>
        <w:pStyle w:val="Title"/>
        <w:jc w:val="center"/>
      </w:pPr>
    </w:p>
    <w:p w14:paraId="1696FA20" w14:textId="77777777" w:rsidR="00F046ED" w:rsidRDefault="00F046ED" w:rsidP="00F046ED">
      <w:pPr>
        <w:pStyle w:val="Title"/>
        <w:jc w:val="center"/>
      </w:pPr>
    </w:p>
    <w:p w14:paraId="4217677B" w14:textId="77777777" w:rsidR="00F046ED" w:rsidRDefault="00F046ED" w:rsidP="00F046ED">
      <w:pPr>
        <w:pStyle w:val="Title"/>
        <w:jc w:val="center"/>
      </w:pPr>
    </w:p>
    <w:p w14:paraId="1D56FBD7" w14:textId="77777777" w:rsidR="00F046ED" w:rsidRDefault="00F046ED" w:rsidP="00F046ED">
      <w:pPr>
        <w:pStyle w:val="Title"/>
        <w:jc w:val="center"/>
      </w:pPr>
    </w:p>
    <w:p w14:paraId="10A07D06" w14:textId="2D081B55" w:rsidR="00F046ED" w:rsidRDefault="00F046ED" w:rsidP="00F046ED">
      <w:pPr>
        <w:pStyle w:val="Title"/>
        <w:jc w:val="center"/>
      </w:pPr>
      <w:r>
        <w:t>A7: Project Report</w:t>
      </w:r>
    </w:p>
    <w:p w14:paraId="70BE532B" w14:textId="2B0D5682" w:rsidR="00F046ED" w:rsidRDefault="00F046ED" w:rsidP="00F046ED">
      <w:pPr>
        <w:pStyle w:val="Subtitle"/>
        <w:jc w:val="center"/>
      </w:pPr>
      <w:r>
        <w:t>Kevin Sweet</w:t>
      </w:r>
    </w:p>
    <w:p w14:paraId="39BC8FC5" w14:textId="4DE20C86" w:rsidR="00F046ED" w:rsidRDefault="00F046ED" w:rsidP="00F046ED">
      <w:pPr>
        <w:pStyle w:val="Subtitle"/>
        <w:jc w:val="center"/>
      </w:pPr>
      <w:r>
        <w:t>12/9/2021</w:t>
      </w:r>
    </w:p>
    <w:p w14:paraId="74074545" w14:textId="55F96B0A" w:rsidR="00F046ED" w:rsidRDefault="00F046ED" w:rsidP="00F046ED"/>
    <w:p w14:paraId="5C8C4BF4" w14:textId="0D4AAA02" w:rsidR="00F046ED" w:rsidRDefault="00F046ED" w:rsidP="00F046ED"/>
    <w:p w14:paraId="0468C474" w14:textId="424552AF" w:rsidR="00F046ED" w:rsidRDefault="00F046ED" w:rsidP="00F046ED"/>
    <w:p w14:paraId="7881D46B" w14:textId="27BF0CB3" w:rsidR="00F046ED" w:rsidRDefault="00F046ED" w:rsidP="00F046ED"/>
    <w:p w14:paraId="6757045E" w14:textId="104F8615" w:rsidR="00F046ED" w:rsidRDefault="00F046ED" w:rsidP="00F046ED"/>
    <w:p w14:paraId="55D797BD" w14:textId="4AE50BC5" w:rsidR="00F046ED" w:rsidRDefault="00F046ED" w:rsidP="00F046ED"/>
    <w:p w14:paraId="500163CD" w14:textId="605E8424" w:rsidR="00F046ED" w:rsidRDefault="00F046ED" w:rsidP="00F046ED"/>
    <w:p w14:paraId="25003CA9" w14:textId="1523E23C" w:rsidR="00F046ED" w:rsidRDefault="00F046ED" w:rsidP="00F046ED"/>
    <w:p w14:paraId="1CAACC2D" w14:textId="5F678C8C" w:rsidR="00F046ED" w:rsidRDefault="00F046ED" w:rsidP="00F046ED"/>
    <w:p w14:paraId="2287CB86" w14:textId="4E97A666" w:rsidR="00F046ED" w:rsidRDefault="00F046ED" w:rsidP="00F046ED"/>
    <w:p w14:paraId="2AD78547" w14:textId="2920AFB0" w:rsidR="00F046ED" w:rsidRDefault="00F046ED" w:rsidP="00F046ED"/>
    <w:p w14:paraId="6600C3EF" w14:textId="46698F3A" w:rsidR="00F046ED" w:rsidRDefault="00F046ED" w:rsidP="00F046ED"/>
    <w:p w14:paraId="5AA87105" w14:textId="0B04BB90" w:rsidR="00F046ED" w:rsidRDefault="00F046ED" w:rsidP="00F046ED"/>
    <w:p w14:paraId="4F9C489F" w14:textId="399AD647" w:rsidR="00F046ED" w:rsidRDefault="00F046ED" w:rsidP="00F046ED"/>
    <w:p w14:paraId="041B2575" w14:textId="2078ADCE" w:rsidR="00F046ED" w:rsidRDefault="00F046ED" w:rsidP="00F046ED"/>
    <w:p w14:paraId="50B0896F" w14:textId="3DC39078" w:rsidR="00F046ED" w:rsidRDefault="00F046ED" w:rsidP="00F046ED">
      <w:pPr>
        <w:pStyle w:val="Heading1"/>
      </w:pPr>
      <w:r>
        <w:lastRenderedPageBreak/>
        <w:t>Introduction</w:t>
      </w:r>
    </w:p>
    <w:p w14:paraId="128A1926" w14:textId="3D64E46C" w:rsidR="00E04121" w:rsidRPr="00E04121" w:rsidRDefault="00135407" w:rsidP="00E04121">
      <w:r>
        <w:t xml:space="preserve">The </w:t>
      </w:r>
      <w:r w:rsidR="00E04121">
        <w:t xml:space="preserve">COVID-19 </w:t>
      </w:r>
      <w:r>
        <w:t xml:space="preserve">pandemic </w:t>
      </w:r>
      <w:r w:rsidR="00E04121">
        <w:t>has undoubtably</w:t>
      </w:r>
      <w:r>
        <w:t xml:space="preserve"> been the most impactful event in recent history. As the virus continues to spread and adapt, researchers are working all over the world to understand what impacts this virus has had and what we can do to stop it.</w:t>
      </w:r>
      <w:r w:rsidR="00123E3F">
        <w:t xml:space="preserve"> To properly research this topic in the scope of this class, this paper seeks to understand the impacts COVID-19 has had on </w:t>
      </w:r>
      <w:r w:rsidR="00F011FB">
        <w:t>Cook County Illinois</w:t>
      </w:r>
      <w:r w:rsidR="00F011FB">
        <w:t xml:space="preserve">, </w:t>
      </w:r>
      <w:r w:rsidR="00123E3F">
        <w:t xml:space="preserve">the </w:t>
      </w:r>
      <w:r w:rsidR="00015F44">
        <w:t>county</w:t>
      </w:r>
      <w:r w:rsidR="00123E3F">
        <w:t xml:space="preserve"> </w:t>
      </w:r>
      <w:r w:rsidR="00F011FB">
        <w:t>that</w:t>
      </w:r>
      <w:r w:rsidR="00123E3F">
        <w:t xml:space="preserve"> Chicago is located in</w:t>
      </w:r>
      <w:r w:rsidR="00F011FB">
        <w:t>.</w:t>
      </w:r>
    </w:p>
    <w:p w14:paraId="6954DFC7" w14:textId="67D456C2" w:rsidR="00F046ED" w:rsidRDefault="00F046ED" w:rsidP="00F046ED">
      <w:pPr>
        <w:pStyle w:val="Heading1"/>
      </w:pPr>
      <w:r>
        <w:t>Related Work</w:t>
      </w:r>
    </w:p>
    <w:p w14:paraId="407509F7" w14:textId="6FCB2281" w:rsidR="0003344B" w:rsidRDefault="00750FA5" w:rsidP="00123E3F">
      <w:r>
        <w:t>Prior work has been done to study the effects that COVID has had on the Cook County community. A study was conducted on hesitancy to seek emergency care during the early stages of the pandemic.</w:t>
      </w:r>
      <w:r w:rsidR="00FC4E89">
        <w:t xml:space="preserve"> The</w:t>
      </w:r>
      <w:r>
        <w:t xml:space="preserve"> findings from this study showed that communities with lower Child Opportunity Index (COI) scores had</w:t>
      </w:r>
      <w:r w:rsidR="00FC4E89">
        <w:t xml:space="preserve"> statistically significant higher hesitancy to seek emergency care than those with lower COI scores. </w:t>
      </w:r>
      <w:sdt>
        <w:sdtPr>
          <w:id w:val="511808629"/>
          <w:citation/>
        </w:sdtPr>
        <w:sdtContent>
          <w:r w:rsidR="00274DDD">
            <w:fldChar w:fldCharType="begin"/>
          </w:r>
          <w:r w:rsidR="00274DDD">
            <w:instrText xml:space="preserve"> CITATION Mac21 \l 1033 </w:instrText>
          </w:r>
          <w:r w:rsidR="00274DDD">
            <w:fldChar w:fldCharType="separate"/>
          </w:r>
          <w:r w:rsidR="00120900">
            <w:rPr>
              <w:noProof/>
            </w:rPr>
            <w:t>(Macy, Smith, Cartland, Golbeck, &amp; Davis, 2021)</w:t>
          </w:r>
          <w:r w:rsidR="00274DDD">
            <w:fldChar w:fldCharType="end"/>
          </w:r>
        </w:sdtContent>
      </w:sdt>
      <w:r w:rsidR="00274DDD">
        <w:t xml:space="preserve"> </w:t>
      </w:r>
      <w:r w:rsidR="00325497">
        <w:t xml:space="preserve">Another study </w:t>
      </w:r>
      <w:r w:rsidR="00047FCD">
        <w:t xml:space="preserve">assessed the seropositivity rates of different </w:t>
      </w:r>
      <w:r w:rsidR="00014847">
        <w:t>Chicago</w:t>
      </w:r>
      <w:r w:rsidR="00047FCD">
        <w:t xml:space="preserve"> neighborhoods that were geographically close together but had vastly different case counts. </w:t>
      </w:r>
      <w:sdt>
        <w:sdtPr>
          <w:id w:val="-2125925344"/>
          <w:citation/>
        </w:sdtPr>
        <w:sdtContent>
          <w:r w:rsidR="00047FCD">
            <w:fldChar w:fldCharType="begin"/>
          </w:r>
          <w:r w:rsidR="00047FCD">
            <w:instrText xml:space="preserve"> CITATION Mus21 \l 1033 </w:instrText>
          </w:r>
          <w:r w:rsidR="00047FCD">
            <w:fldChar w:fldCharType="separate"/>
          </w:r>
          <w:r w:rsidR="00047FCD">
            <w:rPr>
              <w:noProof/>
            </w:rPr>
            <w:t>(Mustanski, 2021)</w:t>
          </w:r>
          <w:r w:rsidR="00047FCD">
            <w:fldChar w:fldCharType="end"/>
          </w:r>
        </w:sdtContent>
      </w:sdt>
      <w:r w:rsidR="00047FCD">
        <w:t xml:space="preserve"> No studies were identified that explored the effectiveness of mask mandates nor the impact on the school system in Cook County.</w:t>
      </w:r>
    </w:p>
    <w:p w14:paraId="6CE2658A" w14:textId="7DE02E7D" w:rsidR="0003344B" w:rsidRDefault="0003344B" w:rsidP="00341012">
      <w:r>
        <w:t>These studies on the differences in response to the pandemic for different demographics raised the following research questions for this paper:</w:t>
      </w:r>
    </w:p>
    <w:p w14:paraId="419A7370" w14:textId="3090453F" w:rsidR="00341012" w:rsidRDefault="00341012" w:rsidP="00341012">
      <w:pPr>
        <w:pStyle w:val="ListParagraph"/>
        <w:numPr>
          <w:ilvl w:val="0"/>
          <w:numId w:val="2"/>
        </w:numPr>
      </w:pPr>
      <w:r w:rsidRPr="00341012">
        <w:t xml:space="preserve">How did masking policies change the progression of confirmed COVID-19 cases </w:t>
      </w:r>
      <w:r>
        <w:t xml:space="preserve">in Cook County </w:t>
      </w:r>
      <w:r w:rsidRPr="00341012">
        <w:t>from February 1, 2020 through October 15, 2021?</w:t>
      </w:r>
    </w:p>
    <w:p w14:paraId="2BADFA47" w14:textId="21739951" w:rsidR="00E66D5F" w:rsidRDefault="00E66D5F" w:rsidP="00E66D5F">
      <w:pPr>
        <w:pStyle w:val="ListParagraph"/>
        <w:numPr>
          <w:ilvl w:val="0"/>
          <w:numId w:val="2"/>
        </w:numPr>
      </w:pPr>
      <w:r>
        <w:t>What impact has the COVID-19 pandemic had on education in Cook County?</w:t>
      </w:r>
    </w:p>
    <w:p w14:paraId="05086162" w14:textId="6D880FD7" w:rsidR="00A740AB" w:rsidRDefault="00E66D7E" w:rsidP="00A740AB">
      <w:pPr>
        <w:pStyle w:val="ListParagraph"/>
        <w:numPr>
          <w:ilvl w:val="0"/>
          <w:numId w:val="2"/>
        </w:numPr>
      </w:pPr>
      <w:r>
        <w:t>Is there a similar impact on education regardless of how wealthy the community is?</w:t>
      </w:r>
    </w:p>
    <w:p w14:paraId="0C2362B0" w14:textId="3B4F132D" w:rsidR="0067489B" w:rsidRDefault="00B74538" w:rsidP="00A740AB">
      <w:r>
        <w:t>Q1 will be addressed u</w:t>
      </w:r>
      <w:r w:rsidR="00D834F4">
        <w:t>sing the confirmed cases</w:t>
      </w:r>
      <w:r w:rsidR="004C248E">
        <w:t>,</w:t>
      </w:r>
      <w:r w:rsidR="00D834F4">
        <w:t xml:space="preserve"> mask mandates</w:t>
      </w:r>
      <w:r w:rsidR="004C248E">
        <w:t>, and mask use</w:t>
      </w:r>
      <w:r w:rsidR="00D834F4">
        <w:t xml:space="preserve"> datasets</w:t>
      </w:r>
      <w:r>
        <w:t>. (DS4</w:t>
      </w:r>
      <w:r w:rsidR="00013EA6">
        <w:t>-</w:t>
      </w:r>
      <w:r w:rsidR="004C248E">
        <w:t>6</w:t>
      </w:r>
      <w:r>
        <w:t xml:space="preserve"> in “Data Sources”) </w:t>
      </w:r>
      <w:r w:rsidR="004C248E">
        <w:t xml:space="preserve">The hypothesis </w:t>
      </w:r>
      <w:r w:rsidR="00B91997">
        <w:t xml:space="preserve">(H1) </w:t>
      </w:r>
      <w:r w:rsidR="004C248E">
        <w:t>is that mask mandates reduce the change in new COVID-19 cases shortly after their institution.</w:t>
      </w:r>
    </w:p>
    <w:p w14:paraId="0C63C2AE" w14:textId="06B1E07A" w:rsidR="00A740AB" w:rsidRPr="00123E3F" w:rsidRDefault="00013EA6" w:rsidP="00A740AB">
      <w:r>
        <w:t>Q2 and Q3 will be addressed by using education data obtained by the city of Chicago and by the state of Illinois. (DS1-3)</w:t>
      </w:r>
      <w:r w:rsidR="00A740AB">
        <w:t xml:space="preserve"> I have id</w:t>
      </w:r>
      <w:r w:rsidR="00EF268D">
        <w:t xml:space="preserve">entified three performance indicators that directly impact the quality of education: dropout rate, student attendance rate, and teacher retention rate. The importance of these metrics </w:t>
      </w:r>
      <w:r w:rsidR="00827C39">
        <w:t>is</w:t>
      </w:r>
      <w:r w:rsidR="00EF268D">
        <w:t xml:space="preserve"> </w:t>
      </w:r>
      <w:r w:rsidR="00827C39">
        <w:t xml:space="preserve">highlighted in </w:t>
      </w:r>
      <w:r w:rsidR="00EF268D">
        <w:t>reports</w:t>
      </w:r>
      <w:r w:rsidR="00827C39">
        <w:t xml:space="preserve"> made for</w:t>
      </w:r>
      <w:r w:rsidR="00EF268D">
        <w:t xml:space="preserve"> the National Assessment of Educational Progress. (NAEP) </w:t>
      </w:r>
      <w:sdt>
        <w:sdtPr>
          <w:id w:val="563458424"/>
          <w:citation/>
        </w:sdtPr>
        <w:sdtContent>
          <w:r w:rsidR="00EF268D">
            <w:fldChar w:fldCharType="begin"/>
          </w:r>
          <w:r w:rsidR="00EF268D">
            <w:instrText xml:space="preserve"> CITATION Gin14 \l 1033 </w:instrText>
          </w:r>
          <w:r w:rsidR="00EF268D">
            <w:fldChar w:fldCharType="separate"/>
          </w:r>
          <w:r w:rsidR="00120900">
            <w:rPr>
              <w:noProof/>
            </w:rPr>
            <w:t>(Ginsburg, 2014)</w:t>
          </w:r>
          <w:r w:rsidR="00EF268D">
            <w:fldChar w:fldCharType="end"/>
          </w:r>
        </w:sdtContent>
      </w:sdt>
      <w:r w:rsidR="00EF268D">
        <w:t xml:space="preserve"> </w:t>
      </w:r>
      <w:r w:rsidR="0089460D">
        <w:t xml:space="preserve">The hypothesis for these questions </w:t>
      </w:r>
      <w:r w:rsidR="00091418">
        <w:t>is</w:t>
      </w:r>
      <w:r w:rsidR="0089460D">
        <w:t xml:space="preserve"> that levels for these three metrics have worsened during the pandemic</w:t>
      </w:r>
      <w:r w:rsidR="00B91997">
        <w:t xml:space="preserve"> (H2)</w:t>
      </w:r>
      <w:r w:rsidR="0089460D">
        <w:t xml:space="preserve"> and that the impact is more severe for</w:t>
      </w:r>
      <w:r w:rsidR="00091418">
        <w:t xml:space="preserve"> schools that have a student body from less wealthy families. </w:t>
      </w:r>
      <w:r w:rsidR="00B91997">
        <w:t>(H3)</w:t>
      </w:r>
    </w:p>
    <w:p w14:paraId="4591D6E6" w14:textId="2B2A14D1" w:rsidR="00F046ED" w:rsidRDefault="00F046ED" w:rsidP="00F046ED">
      <w:pPr>
        <w:pStyle w:val="Heading1"/>
      </w:pPr>
      <w:r>
        <w:t>Methodology</w:t>
      </w:r>
    </w:p>
    <w:p w14:paraId="086D6009" w14:textId="1258616F" w:rsidR="00A83E55" w:rsidRDefault="00CF1004" w:rsidP="00A83E55">
      <w:pPr>
        <w:pStyle w:val="Heading2"/>
      </w:pPr>
      <w:r>
        <w:t xml:space="preserve">Q1 </w:t>
      </w:r>
      <w:r w:rsidR="00AC2170">
        <w:t>Common</w:t>
      </w:r>
      <w:r w:rsidR="00A83E55">
        <w:t xml:space="preserve"> Analysis</w:t>
      </w:r>
    </w:p>
    <w:p w14:paraId="79E25432" w14:textId="2D68225D" w:rsidR="00FF6977" w:rsidRDefault="007921A7" w:rsidP="00A83E55">
      <w:r>
        <w:t xml:space="preserve">The method </w:t>
      </w:r>
      <w:r w:rsidR="0088217C">
        <w:t xml:space="preserve">used to address this question </w:t>
      </w:r>
      <w:r>
        <w:t xml:space="preserve">was to create a </w:t>
      </w:r>
      <w:r w:rsidRPr="007921A7">
        <w:t>susceptible–infected–recovered–dead</w:t>
      </w:r>
      <w:r w:rsidRPr="007921A7">
        <w:t xml:space="preserve"> </w:t>
      </w:r>
      <w:r>
        <w:t>(SIRD) model to</w:t>
      </w:r>
      <w:r w:rsidR="000114C8">
        <w:t xml:space="preserve"> estimate the impact the pandemic would have had if a mask mandate had not been put in place. </w:t>
      </w:r>
      <w:r w:rsidR="0088217C">
        <w:t>To supplement this method,</w:t>
      </w:r>
      <w:r w:rsidR="00A8707E">
        <w:t xml:space="preserve"> </w:t>
      </w:r>
      <w:r w:rsidR="0088217C">
        <w:t>a</w:t>
      </w:r>
      <w:r w:rsidR="00A8707E">
        <w:t xml:space="preserve"> plot</w:t>
      </w:r>
      <w:r w:rsidR="0088217C">
        <w:t xml:space="preserve"> of</w:t>
      </w:r>
      <w:r w:rsidR="00A8707E">
        <w:t xml:space="preserve"> the new cases over time as well as the rate of change in new cases</w:t>
      </w:r>
      <w:r w:rsidR="0088217C">
        <w:t xml:space="preserve"> will be created</w:t>
      </w:r>
      <w:r w:rsidR="00A8707E">
        <w:t xml:space="preserve"> to visually identify how new case counts changed when the mask mandate was put into place. </w:t>
      </w:r>
    </w:p>
    <w:p w14:paraId="01F1EE72" w14:textId="0DFC641B" w:rsidR="006433AC" w:rsidRDefault="00BB7EF7" w:rsidP="00A83E55">
      <w:r>
        <w:lastRenderedPageBreak/>
        <w:t xml:space="preserve">The SIRD model </w:t>
      </w:r>
      <w:r w:rsidR="008E0743">
        <w:t>used for answering this question is a time-varying Markov model</w:t>
      </w:r>
      <w:r w:rsidR="006433AC">
        <w:t>. Each person in the population is modeled in one of five states: susceptible, infectious, resolving, dead, or recovered.</w:t>
      </w:r>
      <w:r w:rsidR="00F06D37">
        <w:t xml:space="preserve"> (</w:t>
      </w:r>
      <w:r w:rsidR="00F06D37">
        <w:t>Figure 1</w:t>
      </w:r>
      <w:r w:rsidR="00F06D37">
        <w:t>)</w:t>
      </w:r>
      <w:r w:rsidR="006433AC">
        <w:t xml:space="preserve"> </w:t>
      </w:r>
    </w:p>
    <w:p w14:paraId="65853EEF" w14:textId="6ADB12B8" w:rsidR="009E709A" w:rsidRDefault="006433AC" w:rsidP="009E709A">
      <w:pPr>
        <w:jc w:val="center"/>
      </w:pPr>
      <w:r w:rsidRPr="006433AC">
        <w:drawing>
          <wp:inline distT="0" distB="0" distL="0" distR="0" wp14:anchorId="3625CF06" wp14:editId="48B03D36">
            <wp:extent cx="2412715" cy="527539"/>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55911" cy="536984"/>
                    </a:xfrm>
                    <a:prstGeom prst="rect">
                      <a:avLst/>
                    </a:prstGeom>
                  </pic:spPr>
                </pic:pic>
              </a:graphicData>
            </a:graphic>
          </wp:inline>
        </w:drawing>
      </w:r>
    </w:p>
    <w:p w14:paraId="68278B2D" w14:textId="784F52F8" w:rsidR="006433AC" w:rsidRDefault="006433AC" w:rsidP="006433AC">
      <w:pPr>
        <w:jc w:val="center"/>
      </w:pPr>
      <w:r w:rsidRPr="006433AC">
        <w:drawing>
          <wp:inline distT="0" distB="0" distL="0" distR="0" wp14:anchorId="507A2945" wp14:editId="43E9A253">
            <wp:extent cx="1906173" cy="132726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1163" cy="1337699"/>
                    </a:xfrm>
                    <a:prstGeom prst="rect">
                      <a:avLst/>
                    </a:prstGeom>
                  </pic:spPr>
                </pic:pic>
              </a:graphicData>
            </a:graphic>
          </wp:inline>
        </w:drawing>
      </w:r>
    </w:p>
    <w:p w14:paraId="162EE7B6" w14:textId="5D209B72" w:rsidR="009E709A" w:rsidRDefault="009E709A" w:rsidP="006433AC">
      <w:pPr>
        <w:jc w:val="center"/>
      </w:pPr>
      <w:r>
        <w:t xml:space="preserve">Figure </w:t>
      </w:r>
      <w:r w:rsidR="00F06D37">
        <w:t>1</w:t>
      </w:r>
      <w:r>
        <w:t xml:space="preserve">: States in a SIRD </w:t>
      </w:r>
      <w:r w:rsidR="008261FA">
        <w:t>m</w:t>
      </w:r>
      <w:r>
        <w:t>odel</w:t>
      </w:r>
      <w:r w:rsidR="00F06D37">
        <w:t xml:space="preserve"> at time period t</w:t>
      </w:r>
      <w:r>
        <w:t xml:space="preserve"> </w:t>
      </w:r>
      <w:sdt>
        <w:sdtPr>
          <w:id w:val="-1844235013"/>
          <w:citation/>
        </w:sdtPr>
        <w:sdtContent>
          <w:r>
            <w:fldChar w:fldCharType="begin"/>
          </w:r>
          <w:r>
            <w:instrText xml:space="preserve"> CITATION Fer20 \l 1033 </w:instrText>
          </w:r>
          <w:r>
            <w:fldChar w:fldCharType="separate"/>
          </w:r>
          <w:r>
            <w:rPr>
              <w:noProof/>
            </w:rPr>
            <w:t>(Fernández-Villaverde &amp; Jones, 2020)</w:t>
          </w:r>
          <w:r>
            <w:fldChar w:fldCharType="end"/>
          </w:r>
        </w:sdtContent>
      </w:sdt>
    </w:p>
    <w:p w14:paraId="05F2C99D" w14:textId="71F24F2C" w:rsidR="00F06D37" w:rsidRDefault="00F06D37" w:rsidP="008E54EB"/>
    <w:p w14:paraId="69AD3BB5" w14:textId="2BCCA4FB" w:rsidR="00F06D37" w:rsidRDefault="00F06D37" w:rsidP="00F06D37">
      <w:pPr>
        <w:rPr>
          <w:rFonts w:eastAsiaTheme="minorEastAsia"/>
        </w:rPr>
      </w:pPr>
      <w:r>
        <w:t>The assumption of the model is that there is a single initial infection</w:t>
      </w:r>
      <w:r w:rsidR="003C263E">
        <w:t xml:space="preserve"> (</w:t>
      </w:r>
      <m:oMath>
        <m:r>
          <w:rPr>
            <w:rFonts w:ascii="Cambria Math" w:hAnsi="Cambria Math"/>
          </w:rPr>
          <m:t>I</m:t>
        </m:r>
      </m:oMath>
      <w:r w:rsidR="00FF7AA9">
        <w:rPr>
          <w:vertAlign w:val="subscript"/>
        </w:rPr>
        <w:t>0</w:t>
      </w:r>
      <w:r>
        <w:t xml:space="preserve"> </w:t>
      </w:r>
      <w:r w:rsidR="003C263E">
        <w:t xml:space="preserve">= 1) </w:t>
      </w:r>
      <w:r>
        <w:t xml:space="preserve">that will then spread the disease to others according to two factors: </w:t>
      </w:r>
      <w:r>
        <w:rPr>
          <w:rFonts w:cstheme="minorHAnsi"/>
        </w:rPr>
        <w:t>number of lengthy contacts per day and number of days the contact is infectious. These factors, denoted as β</w:t>
      </w:r>
      <w:r w:rsidR="002A4F2A">
        <w:rPr>
          <w:rFonts w:cstheme="minorHAnsi"/>
          <w:vertAlign w:val="subscript"/>
        </w:rPr>
        <w:t>t</w:t>
      </w:r>
      <w:r>
        <w:rPr>
          <w:rFonts w:cstheme="minorHAnsi"/>
        </w:rPr>
        <w:t xml:space="preserve"> and γ respectively, are variables that when multiplied together form the basic reproduction rate</w:t>
      </w:r>
      <w:r>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O</m:t>
            </m:r>
          </m:sub>
        </m:sSub>
      </m:oMath>
      <w:r>
        <w:rPr>
          <w:rFonts w:eastAsiaTheme="minorEastAsia" w:cstheme="minorHAnsi"/>
        </w:rPr>
        <w:t xml:space="preserve">. The basic reproduction rate represents the number of infections that an infected person is expected to spread the disease to. </w:t>
      </w:r>
      <w:r>
        <w:t xml:space="preserve">At every </w:t>
      </w:r>
      <w:r w:rsidR="00252F9C">
        <w:t xml:space="preserve">time </w:t>
      </w:r>
      <w:r>
        <w:t xml:space="preserve">step in the simulation, the values for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eastAsiaTheme="minor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Pr>
          <w:rFonts w:eastAsiaTheme="minorEastAsia"/>
        </w:rPr>
        <w:t xml:space="preserve">, and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eastAsiaTheme="minorEastAsia"/>
        </w:rPr>
        <w:t xml:space="preserve"> are updated according to the formulas</w:t>
      </w:r>
      <w:r w:rsidR="00A05501">
        <w:rPr>
          <w:rFonts w:eastAsiaTheme="minorEastAsia"/>
        </w:rPr>
        <w:t xml:space="preserve"> in Figure 2.</w:t>
      </w:r>
      <w:r w:rsidR="00A44BAE">
        <w:rPr>
          <w:rFonts w:eastAsiaTheme="minorEastAsia"/>
        </w:rPr>
        <w:t xml:space="preserve"> </w:t>
      </w:r>
      <w:r w:rsidR="009C7BE1">
        <w:rPr>
          <w:rFonts w:eastAsiaTheme="minorEastAsia"/>
        </w:rPr>
        <w:t>The assumed values for the parameters to these update equations can be found in Figure 3.</w:t>
      </w:r>
    </w:p>
    <w:p w14:paraId="27749949" w14:textId="3F2940CA" w:rsidR="00020698" w:rsidRDefault="00020698" w:rsidP="00F06D37">
      <w:pPr>
        <w:rPr>
          <w:rFonts w:eastAsiaTheme="minorEastAsia"/>
        </w:rPr>
      </w:pPr>
    </w:p>
    <w:p w14:paraId="2CA752DC" w14:textId="4B93B305" w:rsidR="00020698" w:rsidRDefault="00020698" w:rsidP="009A7863">
      <w:pPr>
        <w:jc w:val="center"/>
      </w:pPr>
      <w:r w:rsidRPr="00020698">
        <w:drawing>
          <wp:inline distT="0" distB="0" distL="0" distR="0" wp14:anchorId="13A1BB56" wp14:editId="216CDA0A">
            <wp:extent cx="3657600" cy="218440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9457" cy="2203427"/>
                    </a:xfrm>
                    <a:prstGeom prst="rect">
                      <a:avLst/>
                    </a:prstGeom>
                  </pic:spPr>
                </pic:pic>
              </a:graphicData>
            </a:graphic>
          </wp:inline>
        </w:drawing>
      </w:r>
    </w:p>
    <w:p w14:paraId="7C479D35" w14:textId="3129CD2D" w:rsidR="00020698" w:rsidRDefault="00020698" w:rsidP="00020698">
      <w:pPr>
        <w:jc w:val="center"/>
      </w:pPr>
      <w:r>
        <w:t>Figure 2: Population state update equations</w:t>
      </w:r>
      <w:r w:rsidR="00910DA6">
        <w:t xml:space="preserve"> </w:t>
      </w:r>
      <w:sdt>
        <w:sdtPr>
          <w:id w:val="-118604345"/>
          <w:citation/>
        </w:sdtPr>
        <w:sdtContent>
          <w:r w:rsidR="00910DA6">
            <w:fldChar w:fldCharType="begin"/>
          </w:r>
          <w:r w:rsidR="00910DA6">
            <w:instrText xml:space="preserve"> CITATION Fer20 \l 1033 </w:instrText>
          </w:r>
          <w:r w:rsidR="00910DA6">
            <w:fldChar w:fldCharType="separate"/>
          </w:r>
          <w:r w:rsidR="00910DA6">
            <w:rPr>
              <w:noProof/>
            </w:rPr>
            <w:t>(Fernández-Villaverde &amp; Jones, 2020)</w:t>
          </w:r>
          <w:r w:rsidR="00910DA6">
            <w:fldChar w:fldCharType="end"/>
          </w:r>
        </w:sdtContent>
      </w:sdt>
    </w:p>
    <w:p w14:paraId="02746612" w14:textId="6BA88407" w:rsidR="00F06D37" w:rsidRDefault="00F06D37" w:rsidP="00F06D37"/>
    <w:p w14:paraId="3ADDFA87" w14:textId="77777777" w:rsidR="00171139" w:rsidRDefault="00171139" w:rsidP="00F06D37"/>
    <w:tbl>
      <w:tblPr>
        <w:tblStyle w:val="TableGrid"/>
        <w:tblW w:w="10255" w:type="dxa"/>
        <w:tblLook w:val="04A0" w:firstRow="1" w:lastRow="0" w:firstColumn="1" w:lastColumn="0" w:noHBand="0" w:noVBand="1"/>
      </w:tblPr>
      <w:tblGrid>
        <w:gridCol w:w="1435"/>
        <w:gridCol w:w="8820"/>
      </w:tblGrid>
      <w:tr w:rsidR="009E709A" w14:paraId="3BD40EB2" w14:textId="77777777" w:rsidTr="009E709A">
        <w:tc>
          <w:tcPr>
            <w:tcW w:w="1435" w:type="dxa"/>
          </w:tcPr>
          <w:p w14:paraId="7017E085" w14:textId="3138338F" w:rsidR="009E709A" w:rsidRDefault="00CF15EF" w:rsidP="006433AC">
            <w:pPr>
              <w:jc w:val="center"/>
            </w:pPr>
            <w:r>
              <w:lastRenderedPageBreak/>
              <w:t>Number</w:t>
            </w:r>
          </w:p>
        </w:tc>
        <w:tc>
          <w:tcPr>
            <w:tcW w:w="8820" w:type="dxa"/>
          </w:tcPr>
          <w:p w14:paraId="5F0D3F15" w14:textId="5F3EDA51" w:rsidR="009E709A" w:rsidRDefault="00CF15EF" w:rsidP="006433AC">
            <w:pPr>
              <w:jc w:val="center"/>
            </w:pPr>
            <w:r>
              <w:t>Assumption</w:t>
            </w:r>
          </w:p>
        </w:tc>
      </w:tr>
      <w:tr w:rsidR="009E709A" w14:paraId="48B86652" w14:textId="77777777" w:rsidTr="009E709A">
        <w:tc>
          <w:tcPr>
            <w:tcW w:w="1435" w:type="dxa"/>
          </w:tcPr>
          <w:p w14:paraId="51448C51" w14:textId="0A518C34" w:rsidR="009E709A" w:rsidRDefault="009E709A" w:rsidP="006433AC">
            <w:pPr>
              <w:jc w:val="center"/>
            </w:pPr>
            <w:r>
              <w:t>1</w:t>
            </w:r>
          </w:p>
        </w:tc>
        <w:tc>
          <w:tcPr>
            <w:tcW w:w="8820" w:type="dxa"/>
          </w:tcPr>
          <w:p w14:paraId="21F7C31E" w14:textId="77777777" w:rsidR="009E709A" w:rsidRDefault="009E709A" w:rsidP="009E709A">
            <w:pPr>
              <w:pStyle w:val="ListParagraph"/>
            </w:pPr>
            <w:r>
              <w:t xml:space="preserve">Masks are 67% effective at stopping transmission. This means that for the proportion of the population that wear masks, they transmit COVID-19 at a rate that is 33% of the usual transmission rate. </w:t>
            </w:r>
            <w:sdt>
              <w:sdtPr>
                <w:id w:val="-955482266"/>
                <w:citation/>
              </w:sdtPr>
              <w:sdtContent>
                <w:r>
                  <w:fldChar w:fldCharType="begin"/>
                </w:r>
                <w:r>
                  <w:instrText xml:space="preserve"> CITATION Pee20 \l 1033 </w:instrText>
                </w:r>
                <w:r>
                  <w:fldChar w:fldCharType="separate"/>
                </w:r>
                <w:r>
                  <w:rPr>
                    <w:noProof/>
                  </w:rPr>
                  <w:t>(Peeples, 2020)</w:t>
                </w:r>
                <w:r>
                  <w:fldChar w:fldCharType="end"/>
                </w:r>
              </w:sdtContent>
            </w:sdt>
          </w:p>
          <w:p w14:paraId="4DC7EE78" w14:textId="77777777" w:rsidR="009E709A" w:rsidRDefault="009E709A" w:rsidP="006433AC">
            <w:pPr>
              <w:jc w:val="center"/>
            </w:pPr>
          </w:p>
        </w:tc>
      </w:tr>
      <w:tr w:rsidR="009E709A" w14:paraId="4522EB99" w14:textId="77777777" w:rsidTr="009E709A">
        <w:tc>
          <w:tcPr>
            <w:tcW w:w="1435" w:type="dxa"/>
          </w:tcPr>
          <w:p w14:paraId="653A434F" w14:textId="41AE292E" w:rsidR="009E709A" w:rsidRDefault="009E709A" w:rsidP="006433AC">
            <w:pPr>
              <w:jc w:val="center"/>
            </w:pPr>
            <w:r>
              <w:t>2</w:t>
            </w:r>
          </w:p>
        </w:tc>
        <w:tc>
          <w:tcPr>
            <w:tcW w:w="8820" w:type="dxa"/>
          </w:tcPr>
          <w:p w14:paraId="41F7F850" w14:textId="4B351F9C" w:rsidR="009E709A" w:rsidRDefault="009E709A" w:rsidP="009E709A">
            <w:pPr>
              <w:pStyle w:val="ListParagraph"/>
            </w:pPr>
            <w:r>
              <w:t xml:space="preserve">The </w:t>
            </w:r>
            <w:r w:rsidR="00AB6A80">
              <w:t>base reproduction</w:t>
            </w:r>
            <w:r w:rsidR="00E50164">
              <w:t xml:space="preserve"> rate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O</m:t>
                  </m:r>
                </m:sub>
              </m:sSub>
            </m:oMath>
            <w:r w:rsidR="00E50164">
              <w:rPr>
                <w:rFonts w:eastAsiaTheme="minorEastAsia"/>
              </w:rPr>
              <w:t>)</w:t>
            </w:r>
            <w:r>
              <w:t xml:space="preserve"> values for Cook County are fixed at 1.5</w:t>
            </w:r>
            <w:r w:rsidR="003530EF">
              <w:t xml:space="preserve"> (simplifying assumption)</w:t>
            </w:r>
          </w:p>
          <w:p w14:paraId="073520A5" w14:textId="77777777" w:rsidR="009E709A" w:rsidRDefault="009E709A" w:rsidP="009E709A"/>
        </w:tc>
      </w:tr>
      <w:tr w:rsidR="009E709A" w14:paraId="0EA4AAB0" w14:textId="77777777" w:rsidTr="009E709A">
        <w:tc>
          <w:tcPr>
            <w:tcW w:w="1435" w:type="dxa"/>
          </w:tcPr>
          <w:p w14:paraId="72330E81" w14:textId="112989EB" w:rsidR="009E709A" w:rsidRDefault="009E709A" w:rsidP="006433AC">
            <w:pPr>
              <w:jc w:val="center"/>
            </w:pPr>
            <w:r>
              <w:t>3</w:t>
            </w:r>
          </w:p>
        </w:tc>
        <w:tc>
          <w:tcPr>
            <w:tcW w:w="8820" w:type="dxa"/>
          </w:tcPr>
          <w:p w14:paraId="37A0C7E9" w14:textId="46811001" w:rsidR="009E709A" w:rsidRDefault="009E709A" w:rsidP="009E709A">
            <w:pPr>
              <w:pStyle w:val="ListParagraph"/>
            </w:pPr>
            <w:r>
              <w:t>The population</w:t>
            </w:r>
            <w:r w:rsidR="00D51A69">
              <w:t xml:space="preserve"> (N)</w:t>
            </w:r>
            <w:r>
              <w:t xml:space="preserve"> of Cook County is stable at 5,275,541 as shown in the county assignment spreadsheet</w:t>
            </w:r>
            <w:r w:rsidR="0012455C">
              <w:t xml:space="preserve"> (simplifying assumption)</w:t>
            </w:r>
          </w:p>
          <w:p w14:paraId="2BC0630D" w14:textId="77777777" w:rsidR="009E709A" w:rsidRDefault="009E709A" w:rsidP="009E709A">
            <w:pPr>
              <w:pStyle w:val="ListParagraph"/>
            </w:pPr>
          </w:p>
        </w:tc>
      </w:tr>
      <w:tr w:rsidR="009E709A" w14:paraId="424F748A" w14:textId="77777777" w:rsidTr="009E709A">
        <w:tc>
          <w:tcPr>
            <w:tcW w:w="1435" w:type="dxa"/>
          </w:tcPr>
          <w:p w14:paraId="19079F01" w14:textId="019CBCE3" w:rsidR="009E709A" w:rsidRDefault="009E709A" w:rsidP="006433AC">
            <w:pPr>
              <w:jc w:val="center"/>
            </w:pPr>
            <w:r>
              <w:t>4</w:t>
            </w:r>
          </w:p>
        </w:tc>
        <w:tc>
          <w:tcPr>
            <w:tcW w:w="8820" w:type="dxa"/>
          </w:tcPr>
          <w:p w14:paraId="51DCA62D" w14:textId="355223E7" w:rsidR="009E709A" w:rsidRDefault="009E709A" w:rsidP="009E709A">
            <w:pPr>
              <w:pStyle w:val="ListParagraph"/>
            </w:pPr>
            <w:r>
              <w:t>Those that are infected and recover are immune</w:t>
            </w:r>
            <w:r w:rsidR="0012455C">
              <w:t xml:space="preserve"> (simplifying assumption)</w:t>
            </w:r>
          </w:p>
          <w:p w14:paraId="546BB018" w14:textId="77777777" w:rsidR="009E709A" w:rsidRDefault="009E709A" w:rsidP="009E709A">
            <w:pPr>
              <w:pStyle w:val="ListParagraph"/>
            </w:pPr>
          </w:p>
        </w:tc>
      </w:tr>
      <w:tr w:rsidR="009E709A" w14:paraId="02C3FC62" w14:textId="77777777" w:rsidTr="009E709A">
        <w:tc>
          <w:tcPr>
            <w:tcW w:w="1435" w:type="dxa"/>
          </w:tcPr>
          <w:p w14:paraId="00E58A19" w14:textId="75071300" w:rsidR="009E709A" w:rsidRDefault="009E709A" w:rsidP="006433AC">
            <w:pPr>
              <w:jc w:val="center"/>
            </w:pPr>
            <w:r>
              <w:t>5</w:t>
            </w:r>
          </w:p>
        </w:tc>
        <w:tc>
          <w:tcPr>
            <w:tcW w:w="8820" w:type="dxa"/>
          </w:tcPr>
          <w:p w14:paraId="12D0F1BA" w14:textId="5D0776EE" w:rsidR="009E709A" w:rsidRDefault="00EB740D" w:rsidP="009E709A">
            <w:pPr>
              <w:pStyle w:val="ListParagraph"/>
            </w:pPr>
            <w:r>
              <w:t>Recovery period</w:t>
            </w:r>
            <w:r w:rsidR="00854A86">
              <w:t xml:space="preserve"> (1/</w:t>
            </w:r>
            <w:r w:rsidR="00854A86">
              <w:rPr>
                <w:rFonts w:cstheme="minorHAnsi"/>
              </w:rPr>
              <w:t>θ)</w:t>
            </w:r>
            <w:r>
              <w:t xml:space="preserve"> </w:t>
            </w:r>
            <w:r w:rsidR="009E709A">
              <w:t>is</w:t>
            </w:r>
            <w:r>
              <w:t xml:space="preserve"> on average</w:t>
            </w:r>
            <w:r w:rsidR="009E709A">
              <w:t xml:space="preserve"> 10 days </w:t>
            </w:r>
            <w:r>
              <w:t xml:space="preserve">long </w:t>
            </w:r>
            <w:sdt>
              <w:sdtPr>
                <w:id w:val="1990590083"/>
                <w:citation/>
              </w:sdtPr>
              <w:sdtContent>
                <w:r w:rsidR="00854A86">
                  <w:fldChar w:fldCharType="begin"/>
                </w:r>
                <w:r w:rsidR="00854A86">
                  <w:instrText xml:space="preserve"> CITATION Fer20 \l 1033 </w:instrText>
                </w:r>
                <w:r w:rsidR="00854A86">
                  <w:fldChar w:fldCharType="separate"/>
                </w:r>
                <w:r w:rsidR="00854A86">
                  <w:rPr>
                    <w:noProof/>
                  </w:rPr>
                  <w:t>(Fernández-Villaverde &amp; Jones, 2020)</w:t>
                </w:r>
                <w:r w:rsidR="00854A86">
                  <w:fldChar w:fldCharType="end"/>
                </w:r>
              </w:sdtContent>
            </w:sdt>
          </w:p>
          <w:p w14:paraId="00EF98C2" w14:textId="77777777" w:rsidR="009E709A" w:rsidRDefault="009E709A" w:rsidP="009E709A">
            <w:pPr>
              <w:pStyle w:val="ListParagraph"/>
            </w:pPr>
          </w:p>
        </w:tc>
      </w:tr>
      <w:tr w:rsidR="009E709A" w14:paraId="120CAEBF" w14:textId="77777777" w:rsidTr="009E709A">
        <w:tc>
          <w:tcPr>
            <w:tcW w:w="1435" w:type="dxa"/>
          </w:tcPr>
          <w:p w14:paraId="3EB01C05" w14:textId="506E8888" w:rsidR="009E709A" w:rsidRDefault="009E709A" w:rsidP="006433AC">
            <w:pPr>
              <w:jc w:val="center"/>
            </w:pPr>
            <w:r>
              <w:t>6</w:t>
            </w:r>
          </w:p>
        </w:tc>
        <w:tc>
          <w:tcPr>
            <w:tcW w:w="8820" w:type="dxa"/>
          </w:tcPr>
          <w:p w14:paraId="6DECCA46" w14:textId="27915391" w:rsidR="009E709A" w:rsidRDefault="009E709A" w:rsidP="009E709A">
            <w:pPr>
              <w:pStyle w:val="ListParagraph"/>
            </w:pPr>
            <w:r>
              <w:t>Death rate</w:t>
            </w:r>
            <w:r w:rsidR="00D51A69">
              <w:t xml:space="preserve"> (</w:t>
            </w:r>
            <w:r w:rsidR="00D51A69">
              <w:rPr>
                <w:rFonts w:cstheme="minorHAnsi"/>
              </w:rPr>
              <w:t>δ)</w:t>
            </w:r>
            <w:r>
              <w:t xml:space="preserve"> is on average 1%</w:t>
            </w:r>
            <w:r w:rsidR="00D51A69">
              <w:t xml:space="preserve"> of all infections</w:t>
            </w:r>
            <w:r>
              <w:t xml:space="preserve"> </w:t>
            </w:r>
            <w:sdt>
              <w:sdtPr>
                <w:id w:val="1499547537"/>
                <w:citation/>
              </w:sdtPr>
              <w:sdtContent>
                <w:r>
                  <w:fldChar w:fldCharType="begin"/>
                </w:r>
                <w:r>
                  <w:instrText xml:space="preserve"> CITATION Fer20 \l 1033 </w:instrText>
                </w:r>
                <w:r>
                  <w:fldChar w:fldCharType="separate"/>
                </w:r>
                <w:r>
                  <w:rPr>
                    <w:noProof/>
                  </w:rPr>
                  <w:t>(Fernández-Villaverde &amp; Jones, 2020)</w:t>
                </w:r>
                <w:r>
                  <w:fldChar w:fldCharType="end"/>
                </w:r>
              </w:sdtContent>
            </w:sdt>
          </w:p>
          <w:p w14:paraId="052FB3AD" w14:textId="77777777" w:rsidR="009E709A" w:rsidRDefault="009E709A" w:rsidP="009E709A">
            <w:pPr>
              <w:pStyle w:val="ListParagraph"/>
            </w:pPr>
          </w:p>
        </w:tc>
      </w:tr>
      <w:tr w:rsidR="009E709A" w14:paraId="27115C4C" w14:textId="77777777" w:rsidTr="009E709A">
        <w:tc>
          <w:tcPr>
            <w:tcW w:w="1435" w:type="dxa"/>
          </w:tcPr>
          <w:p w14:paraId="0B988006" w14:textId="3B78B3CE" w:rsidR="009E709A" w:rsidRDefault="009E709A" w:rsidP="006433AC">
            <w:pPr>
              <w:jc w:val="center"/>
            </w:pPr>
            <w:r>
              <w:t>7</w:t>
            </w:r>
          </w:p>
        </w:tc>
        <w:tc>
          <w:tcPr>
            <w:tcW w:w="8820" w:type="dxa"/>
          </w:tcPr>
          <w:p w14:paraId="733DF478" w14:textId="69ED82CA" w:rsidR="009E709A" w:rsidRDefault="009E709A" w:rsidP="009E709A">
            <w:pPr>
              <w:pStyle w:val="ListParagraph"/>
            </w:pPr>
            <w:r>
              <w:t xml:space="preserve">Infectious period </w:t>
            </w:r>
            <w:r w:rsidR="00EB740D">
              <w:t>(1/</w:t>
            </w:r>
            <w:r w:rsidR="00EB740D">
              <w:rPr>
                <w:rFonts w:cstheme="minorHAnsi"/>
              </w:rPr>
              <w:t>γ)</w:t>
            </w:r>
            <w:r w:rsidR="00EB740D">
              <w:t xml:space="preserve"> </w:t>
            </w:r>
            <w:r>
              <w:t>is on average 5 days</w:t>
            </w:r>
            <w:r w:rsidR="00EB740D">
              <w:t xml:space="preserve"> long</w:t>
            </w:r>
            <w:r>
              <w:t xml:space="preserve"> </w:t>
            </w:r>
            <w:sdt>
              <w:sdtPr>
                <w:id w:val="-1259130225"/>
                <w:citation/>
              </w:sdtPr>
              <w:sdtContent>
                <w:r>
                  <w:fldChar w:fldCharType="begin"/>
                </w:r>
                <w:r>
                  <w:instrText xml:space="preserve"> CITATION Fer20 \l 1033 </w:instrText>
                </w:r>
                <w:r>
                  <w:fldChar w:fldCharType="separate"/>
                </w:r>
                <w:r>
                  <w:rPr>
                    <w:noProof/>
                  </w:rPr>
                  <w:t>(Fernández-Villaverde &amp; Jones, 2020)</w:t>
                </w:r>
                <w:r>
                  <w:fldChar w:fldCharType="end"/>
                </w:r>
              </w:sdtContent>
            </w:sdt>
          </w:p>
          <w:p w14:paraId="74742737" w14:textId="77777777" w:rsidR="009E709A" w:rsidRDefault="009E709A" w:rsidP="009E709A">
            <w:pPr>
              <w:pStyle w:val="ListParagraph"/>
            </w:pPr>
          </w:p>
        </w:tc>
      </w:tr>
    </w:tbl>
    <w:p w14:paraId="064FCE0A" w14:textId="1E49112A" w:rsidR="00AB1764" w:rsidRDefault="00C30B29" w:rsidP="004E4945">
      <w:pPr>
        <w:jc w:val="center"/>
      </w:pPr>
      <w:r>
        <w:t>Figure 3: SIRD Model Assumptions Table</w:t>
      </w:r>
    </w:p>
    <w:p w14:paraId="6FC7B982" w14:textId="0045EFB0" w:rsidR="009E062F" w:rsidRDefault="00AB6A80" w:rsidP="009E062F">
      <w:r>
        <w:t xml:space="preserve">Two versions of this </w:t>
      </w:r>
      <w:r w:rsidR="009921F7">
        <w:t>simulation</w:t>
      </w:r>
      <w:r>
        <w:t xml:space="preserve"> will be run, one that implements a mask mandate that reduces the reproduction rate by 67%</w:t>
      </w:r>
      <w:r w:rsidR="009921F7">
        <w:t xml:space="preserve"> </w:t>
      </w:r>
      <w:r w:rsidR="004F2EF3">
        <w:t>after May 1</w:t>
      </w:r>
      <w:r w:rsidR="004F2EF3" w:rsidRPr="004F2EF3">
        <w:rPr>
          <w:vertAlign w:val="superscript"/>
        </w:rPr>
        <w:t>st</w:t>
      </w:r>
      <w:r w:rsidR="004F2EF3">
        <w:t xml:space="preserve"> which is meant to reflect the real-world result. The other simulation will not introduce the effect of a mask mandate at May 1</w:t>
      </w:r>
      <w:r w:rsidR="004F2EF3" w:rsidRPr="004F2EF3">
        <w:rPr>
          <w:vertAlign w:val="superscript"/>
        </w:rPr>
        <w:t>st</w:t>
      </w:r>
      <w:r w:rsidR="004F2EF3">
        <w:t xml:space="preserve">. </w:t>
      </w:r>
      <w:r w:rsidR="00E03E5B">
        <w:t>Each of these simulations will run from the beginning of the recorded data and project out</w:t>
      </w:r>
      <w:r w:rsidR="0028562B">
        <w:t xml:space="preserve"> to June 1</w:t>
      </w:r>
      <w:r w:rsidR="0028562B" w:rsidRPr="0028562B">
        <w:rPr>
          <w:vertAlign w:val="superscript"/>
        </w:rPr>
        <w:t>st</w:t>
      </w:r>
      <w:r w:rsidR="0028562B">
        <w:t>.</w:t>
      </w:r>
      <w:r w:rsidR="00763C5D">
        <w:t xml:space="preserve"> </w:t>
      </w:r>
      <w:r w:rsidR="004F2EF3">
        <w:t>The number of infected will then be compared for these two simulations to determine what impact the mask mandate had on the progression of COVID-19.</w:t>
      </w:r>
    </w:p>
    <w:p w14:paraId="0DFB8811" w14:textId="22938901" w:rsidR="00A83E55" w:rsidRDefault="00CF1004" w:rsidP="00A83E55">
      <w:pPr>
        <w:pStyle w:val="Heading2"/>
      </w:pPr>
      <w:r>
        <w:t xml:space="preserve">Q2 &amp; Q3 </w:t>
      </w:r>
      <w:r w:rsidR="00A83E55">
        <w:t>Analysis Extension</w:t>
      </w:r>
    </w:p>
    <w:p w14:paraId="2E6F7EFE" w14:textId="536C481F" w:rsidR="005B4FB2" w:rsidRDefault="00AB5CC4" w:rsidP="00C3199F">
      <w:r>
        <w:t xml:space="preserve">Q2 &amp; Q3 both pertain to education metrics in cook county, so </w:t>
      </w:r>
      <w:r w:rsidR="004671F8">
        <w:t xml:space="preserve">datasets DS1-3 were procured from online sources and cleaned. Exploratory data analysis was performed on these datasets and DS1 was identified as having the appropriate data points to effectively answer these questions. It contains yearly school-level performance metrics for every school in Illinois, most importantly, dropout rate, student attendance rate, </w:t>
      </w:r>
      <w:r w:rsidR="005B4FB2">
        <w:t xml:space="preserve">teacher retention rate, and a Title I school indicator. Title I schools are defined as having enrolled in a title I program with the department of education. </w:t>
      </w:r>
      <w:sdt>
        <w:sdtPr>
          <w:id w:val="-1415317064"/>
          <w:citation/>
        </w:sdtPr>
        <w:sdtContent>
          <w:r w:rsidR="005B4FB2">
            <w:fldChar w:fldCharType="begin"/>
          </w:r>
          <w:r w:rsidR="005B4FB2">
            <w:instrText xml:space="preserve"> CITATION USD18 \l 1033 </w:instrText>
          </w:r>
          <w:r w:rsidR="005B4FB2">
            <w:fldChar w:fldCharType="separate"/>
          </w:r>
          <w:r w:rsidR="005B4FB2">
            <w:rPr>
              <w:noProof/>
            </w:rPr>
            <w:t>(U.S. Department of Education, 2018)</w:t>
          </w:r>
          <w:r w:rsidR="005B4FB2">
            <w:fldChar w:fldCharType="end"/>
          </w:r>
        </w:sdtContent>
      </w:sdt>
      <w:r w:rsidR="005B4FB2">
        <w:t xml:space="preserve"> To be eligible for title I, a school must have more than 40% of its students living below the poverty line. This will be used in the analysis to distinguish between wealthy and not wealthy communities, needed to answer Q3.</w:t>
      </w:r>
    </w:p>
    <w:p w14:paraId="5C2ECC9E" w14:textId="77777777" w:rsidR="0024399D" w:rsidRDefault="00B60182" w:rsidP="00C3199F">
      <w:r>
        <w:t xml:space="preserve">After data preparation, we had a processed dataset of two school years of performance metrics for every school in Cook County. The two school years, identified as “pre” and “post” pandemic, were the 2019-2020 and 2020-2021 school years respectively. </w:t>
      </w:r>
      <w:r w:rsidR="007718E7">
        <w:t>These groups were further divided into “title I” and “non-title I” schools</w:t>
      </w:r>
      <w:r w:rsidR="0024399D">
        <w:t xml:space="preserve">. In this dataset, there are 790 schools identified as title I and 412 schools identified as non-title I. </w:t>
      </w:r>
    </w:p>
    <w:p w14:paraId="06890C9E" w14:textId="4695FB15" w:rsidR="00773E24" w:rsidRDefault="00AB5CC4" w:rsidP="00C3199F">
      <w:r>
        <w:t>To answer Q2 and Q3,</w:t>
      </w:r>
      <w:r w:rsidR="00C515B3">
        <w:t xml:space="preserve"> a dependent t-test for paired samples is performed on the title I and non-title I for the pre and post pandemic years. The results of this t-test will show whether there is a significant </w:t>
      </w:r>
      <w:r w:rsidR="00C515B3">
        <w:lastRenderedPageBreak/>
        <w:t>change in any of these metrics, thus answering Q2. A significant difference in change for title I and non-title I schools will show highlight any disparities between wealthy and poor communities</w:t>
      </w:r>
      <w:r w:rsidR="00E87E1D">
        <w:t>, answering Q3.</w:t>
      </w:r>
    </w:p>
    <w:p w14:paraId="7340D185" w14:textId="25510773" w:rsidR="00AA6E4A" w:rsidRPr="00C3199F" w:rsidRDefault="00AA6E4A" w:rsidP="00C3199F"/>
    <w:p w14:paraId="63CC395C" w14:textId="0342ED2B" w:rsidR="00F046ED" w:rsidRDefault="00F046ED" w:rsidP="00F046ED">
      <w:pPr>
        <w:pStyle w:val="Heading1"/>
      </w:pPr>
      <w:r>
        <w:t>Findings</w:t>
      </w:r>
    </w:p>
    <w:p w14:paraId="1EC3D016" w14:textId="0E52ECFF" w:rsidR="00500DB3" w:rsidRDefault="00CF1004" w:rsidP="00CC5C62">
      <w:pPr>
        <w:pStyle w:val="Heading2"/>
      </w:pPr>
      <w:r>
        <w:t xml:space="preserve">Q1 </w:t>
      </w:r>
      <w:r w:rsidR="00AC2170">
        <w:t xml:space="preserve">Common </w:t>
      </w:r>
      <w:r w:rsidR="00A83E55">
        <w:t>Analysis</w:t>
      </w:r>
    </w:p>
    <w:p w14:paraId="1E5AA13F" w14:textId="77777777" w:rsidR="00CC5C62" w:rsidRPr="00CC5C62" w:rsidRDefault="00CC5C62" w:rsidP="00CC5C62"/>
    <w:p w14:paraId="4E74E624" w14:textId="6C0ACB10" w:rsidR="00500DB3" w:rsidRDefault="00500DB3" w:rsidP="00500DB3">
      <w:pPr>
        <w:rPr>
          <w:rFonts w:cstheme="minorHAnsi"/>
        </w:rPr>
      </w:pPr>
      <w:r>
        <w:t xml:space="preserve">The SIRD model showed extreme sensitivity to the choice of </w:t>
      </w:r>
      <w:r>
        <w:rPr>
          <w:rFonts w:cstheme="minorHAnsi"/>
        </w:rPr>
        <w:t>β</w:t>
      </w:r>
      <w:r>
        <w:rPr>
          <w:rFonts w:cstheme="minorHAnsi"/>
          <w:vertAlign w:val="subscript"/>
        </w:rPr>
        <w:t>t</w:t>
      </w:r>
      <w:r w:rsidR="00E03E5B">
        <w:rPr>
          <w:rFonts w:cstheme="minorHAnsi"/>
        </w:rPr>
        <w:t xml:space="preserve"> that accordingly affected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O</m:t>
            </m:r>
          </m:sub>
        </m:sSub>
      </m:oMath>
      <w:r>
        <w:rPr>
          <w:rFonts w:cstheme="minorHAnsi"/>
        </w:rPr>
        <w:t xml:space="preserve">. </w:t>
      </w:r>
      <w:r w:rsidR="00E03E5B">
        <w:rPr>
          <w:rFonts w:cstheme="minorHAnsi"/>
        </w:rPr>
        <w:t xml:space="preserve">The simplifying assumption that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O</m:t>
            </m:r>
          </m:sub>
        </m:sSub>
      </m:oMath>
      <w:r w:rsidR="00E03E5B">
        <w:rPr>
          <w:rFonts w:eastAsiaTheme="minorEastAsia" w:cstheme="minorHAnsi"/>
        </w:rPr>
        <w:t xml:space="preserve"> </w:t>
      </w:r>
      <w:r w:rsidR="00E03E5B">
        <w:rPr>
          <w:rFonts w:cstheme="minorHAnsi"/>
        </w:rPr>
        <w:t xml:space="preserve">is fixed at 1.5 </w:t>
      </w:r>
      <w:r w:rsidR="004020DD">
        <w:rPr>
          <w:rFonts w:cstheme="minorHAnsi"/>
        </w:rPr>
        <w:t>originated</w:t>
      </w:r>
      <w:r w:rsidR="00E03E5B">
        <w:rPr>
          <w:rFonts w:cstheme="minorHAnsi"/>
        </w:rPr>
        <w:t xml:space="preserve"> from experimentation with the model and observation that 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O</m:t>
            </m:r>
          </m:sub>
        </m:sSub>
      </m:oMath>
      <w:r w:rsidR="00E03E5B">
        <w:rPr>
          <w:rFonts w:eastAsiaTheme="minorEastAsia" w:cstheme="minorHAnsi"/>
        </w:rPr>
        <w:t xml:space="preserve"> approached approximately 2, the rate of infection was so large that by the end of the simulat</w:t>
      </w:r>
      <w:r w:rsidR="00C87CC5">
        <w:rPr>
          <w:rFonts w:eastAsiaTheme="minorEastAsia" w:cstheme="minorHAnsi"/>
        </w:rPr>
        <w:t xml:space="preserve">ion every person in Cook County was infected with COVID-19. While this isn’t an impossible result due to the dormant nature of the virus in some cases, the plausibility of this is questionable. The difficulty with modeling this situation originates from the estimation of </w:t>
      </w:r>
      <w:r w:rsidR="00C87CC5">
        <w:rPr>
          <w:rFonts w:cstheme="minorHAnsi"/>
        </w:rPr>
        <w:t>β</w:t>
      </w:r>
      <w:r w:rsidR="00C87CC5">
        <w:rPr>
          <w:rFonts w:cstheme="minorHAnsi"/>
          <w:vertAlign w:val="subscript"/>
        </w:rPr>
        <w:t>t</w:t>
      </w:r>
      <w:r w:rsidR="00C87CC5">
        <w:rPr>
          <w:rFonts w:cstheme="minorHAnsi"/>
        </w:rPr>
        <w:t xml:space="preserve">, the number of lengthy contacts. The simplifying assumption that this number is static throughout the duration of the simulation is the issue. In reality, this number changes drastically as people understand the dangers of the pandemic, the weather, world events, and many more reasons that cannot reasonably be modeled in the scope of this project. </w:t>
      </w:r>
    </w:p>
    <w:p w14:paraId="38EBA492" w14:textId="44DE1A37" w:rsidR="00772819" w:rsidRDefault="00C87CC5" w:rsidP="00500DB3">
      <w:pPr>
        <w:rPr>
          <w:rFonts w:cstheme="minorHAnsi"/>
        </w:rPr>
      </w:pPr>
      <w:r>
        <w:rPr>
          <w:rFonts w:cstheme="minorHAnsi"/>
        </w:rPr>
        <w:t>That being said, the results of t</w:t>
      </w:r>
      <w:r w:rsidR="00AA1B81">
        <w:rPr>
          <w:rFonts w:cstheme="minorHAnsi"/>
        </w:rPr>
        <w:t>he SIRD model showed that the simulation in which everyone complies with the mask mandate after May 1</w:t>
      </w:r>
      <w:r w:rsidR="00AA1B81" w:rsidRPr="00AA1B81">
        <w:rPr>
          <w:rFonts w:cstheme="minorHAnsi"/>
          <w:vertAlign w:val="superscript"/>
        </w:rPr>
        <w:t>st</w:t>
      </w:r>
      <w:r w:rsidR="00AA1B81">
        <w:rPr>
          <w:rFonts w:cstheme="minorHAnsi"/>
        </w:rPr>
        <w:t xml:space="preserve"> resulted in a drop in number of infected from 537,169 to 40</w:t>
      </w:r>
      <w:r w:rsidR="004F6C20">
        <w:rPr>
          <w:rFonts w:cstheme="minorHAnsi"/>
        </w:rPr>
        <w:t>,</w:t>
      </w:r>
      <w:r w:rsidR="00AA1B81">
        <w:rPr>
          <w:rFonts w:cstheme="minorHAnsi"/>
        </w:rPr>
        <w:t>275. This is a 92% decrease in the total number of infections.</w:t>
      </w:r>
    </w:p>
    <w:p w14:paraId="281780F3" w14:textId="03F6F4B7" w:rsidR="00772819" w:rsidRPr="00772819" w:rsidRDefault="00772819" w:rsidP="00772819">
      <w:pPr>
        <w:rPr>
          <w:rFonts w:cstheme="minorHAnsi"/>
        </w:rPr>
      </w:pPr>
      <w:r w:rsidRPr="00772819">
        <w:rPr>
          <w:rFonts w:cstheme="minorHAnsi"/>
        </w:rPr>
        <w:t xml:space="preserve">The </w:t>
      </w:r>
      <w:r>
        <w:rPr>
          <w:rFonts w:cstheme="minorHAnsi"/>
        </w:rPr>
        <w:t xml:space="preserve">supplementary </w:t>
      </w:r>
      <w:r w:rsidRPr="00772819">
        <w:rPr>
          <w:rFonts w:cstheme="minorHAnsi"/>
        </w:rPr>
        <w:t>visualization</w:t>
      </w:r>
      <w:r>
        <w:rPr>
          <w:rFonts w:cstheme="minorHAnsi"/>
        </w:rPr>
        <w:t xml:space="preserve"> (Figure 3)</w:t>
      </w:r>
      <w:r w:rsidRPr="00772819">
        <w:rPr>
          <w:rFonts w:cstheme="minorHAnsi"/>
        </w:rPr>
        <w:t xml:space="preserve"> contains two subplots: the top plot shows the </w:t>
      </w:r>
      <w:r w:rsidR="00F7601A" w:rsidRPr="00772819">
        <w:rPr>
          <w:rFonts w:cstheme="minorHAnsi"/>
        </w:rPr>
        <w:t>7-day</w:t>
      </w:r>
      <w:r w:rsidRPr="00772819">
        <w:rPr>
          <w:rFonts w:cstheme="minorHAnsi"/>
        </w:rPr>
        <w:t xml:space="preserve"> moving average of COVID cases in Cook County Illinois. The X axis is the date at which the new confirmed cases were reported and the Y axis is the number of new cases. The bottom graph, which shares the same X axis as the top, is the rate of change in new cases </w:t>
      </w:r>
      <w:r w:rsidR="00B970F5" w:rsidRPr="00772819">
        <w:rPr>
          <w:rFonts w:cstheme="minorHAnsi"/>
        </w:rPr>
        <w:t>i.e.,</w:t>
      </w:r>
      <w:r w:rsidRPr="00772819">
        <w:rPr>
          <w:rFonts w:cstheme="minorHAnsi"/>
        </w:rPr>
        <w:t xml:space="preserve"> the acceleration of new case growth. The grayed areas of both graphs represent the time periods in which a mask mandate was in effect and the solid yellow vertical line represents the point at which the first vaccine was introduced. There are a few instances of extreme spikes in case counts that are likely attributed to delayed reporting (1/1/2021, 9/6/2021). This could be due to those dates being holidays. An interesting finding from this graph is that shortly after the introduction of both mask mandates, the new case rate seems to drop. </w:t>
      </w:r>
    </w:p>
    <w:p w14:paraId="0850BE60" w14:textId="77777777" w:rsidR="00831BE2" w:rsidRPr="00C87CC5" w:rsidRDefault="00831BE2" w:rsidP="00500DB3">
      <w:pPr>
        <w:rPr>
          <w:rFonts w:eastAsiaTheme="minorEastAsia" w:cstheme="minorHAnsi"/>
        </w:rPr>
      </w:pPr>
    </w:p>
    <w:p w14:paraId="3EC24325" w14:textId="77777777" w:rsidR="00C87CC5" w:rsidRPr="00E03E5B" w:rsidRDefault="00C87CC5" w:rsidP="00500DB3"/>
    <w:p w14:paraId="3C788149" w14:textId="76049C44" w:rsidR="00444531" w:rsidRDefault="00444531" w:rsidP="00444531"/>
    <w:p w14:paraId="29EBD93C" w14:textId="77777777" w:rsidR="00444531" w:rsidRPr="00444531" w:rsidRDefault="00444531" w:rsidP="00444531"/>
    <w:p w14:paraId="09E97131" w14:textId="77777777" w:rsidR="0067489B" w:rsidRPr="0067489B" w:rsidRDefault="0067489B" w:rsidP="0067489B"/>
    <w:p w14:paraId="64077C51" w14:textId="35B55E32" w:rsidR="00A83E55" w:rsidRDefault="0067489B" w:rsidP="0067489B">
      <w:pPr>
        <w:jc w:val="center"/>
      </w:pPr>
      <w:r>
        <w:rPr>
          <w:noProof/>
        </w:rPr>
        <w:lastRenderedPageBreak/>
        <w:drawing>
          <wp:inline distT="0" distB="0" distL="0" distR="0" wp14:anchorId="1D8A73CD" wp14:editId="4210705B">
            <wp:extent cx="5943600" cy="3896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3896995"/>
                    </a:xfrm>
                    <a:prstGeom prst="rect">
                      <a:avLst/>
                    </a:prstGeom>
                  </pic:spPr>
                </pic:pic>
              </a:graphicData>
            </a:graphic>
          </wp:inline>
        </w:drawing>
      </w:r>
    </w:p>
    <w:p w14:paraId="09EB6E59" w14:textId="7CDC8583" w:rsidR="00B970F5" w:rsidRDefault="00B970F5" w:rsidP="0067489B">
      <w:pPr>
        <w:jc w:val="center"/>
      </w:pPr>
      <w:r>
        <w:t>Figure 3: Changes in cases and new cases over time</w:t>
      </w:r>
      <w:r w:rsidR="00CA0B81">
        <w:t xml:space="preserve"> in Cook County</w:t>
      </w:r>
    </w:p>
    <w:p w14:paraId="32FADC04" w14:textId="395BF7B2" w:rsidR="00FA70E3" w:rsidRDefault="00FA70E3" w:rsidP="0067489B">
      <w:pPr>
        <w:jc w:val="center"/>
      </w:pPr>
    </w:p>
    <w:p w14:paraId="183A48A0" w14:textId="0F00D741" w:rsidR="00061264" w:rsidRDefault="00061264" w:rsidP="0067489B">
      <w:pPr>
        <w:jc w:val="center"/>
      </w:pPr>
    </w:p>
    <w:p w14:paraId="2E4E83C6" w14:textId="15220E63" w:rsidR="00061264" w:rsidRDefault="00061264" w:rsidP="0067489B">
      <w:pPr>
        <w:jc w:val="center"/>
      </w:pPr>
    </w:p>
    <w:p w14:paraId="568E9C11" w14:textId="3806298B" w:rsidR="00061264" w:rsidRDefault="00061264" w:rsidP="0067489B">
      <w:pPr>
        <w:jc w:val="center"/>
      </w:pPr>
    </w:p>
    <w:p w14:paraId="5F748C84" w14:textId="153F87B0" w:rsidR="00061264" w:rsidRDefault="00061264" w:rsidP="0067489B">
      <w:pPr>
        <w:jc w:val="center"/>
      </w:pPr>
    </w:p>
    <w:p w14:paraId="41451559" w14:textId="1250C9D5" w:rsidR="00061264" w:rsidRDefault="00061264" w:rsidP="0067489B">
      <w:pPr>
        <w:jc w:val="center"/>
      </w:pPr>
    </w:p>
    <w:p w14:paraId="405BA355" w14:textId="1695BB23" w:rsidR="00061264" w:rsidRDefault="00061264" w:rsidP="0067489B">
      <w:pPr>
        <w:jc w:val="center"/>
      </w:pPr>
    </w:p>
    <w:p w14:paraId="0938FD98" w14:textId="6A655575" w:rsidR="00061264" w:rsidRDefault="00061264" w:rsidP="0067489B">
      <w:pPr>
        <w:jc w:val="center"/>
      </w:pPr>
    </w:p>
    <w:p w14:paraId="4C8C4DE8" w14:textId="3D95A668" w:rsidR="00061264" w:rsidRDefault="00061264" w:rsidP="0067489B">
      <w:pPr>
        <w:jc w:val="center"/>
      </w:pPr>
    </w:p>
    <w:p w14:paraId="311DB78D" w14:textId="5C1778E8" w:rsidR="00061264" w:rsidRDefault="00061264" w:rsidP="0067489B">
      <w:pPr>
        <w:jc w:val="center"/>
      </w:pPr>
    </w:p>
    <w:p w14:paraId="0B865093" w14:textId="3ACDC748" w:rsidR="00061264" w:rsidRDefault="00061264" w:rsidP="0067489B">
      <w:pPr>
        <w:jc w:val="center"/>
      </w:pPr>
    </w:p>
    <w:p w14:paraId="0362F19F" w14:textId="77777777" w:rsidR="00061264" w:rsidRDefault="00061264" w:rsidP="0067489B">
      <w:pPr>
        <w:jc w:val="center"/>
      </w:pPr>
    </w:p>
    <w:p w14:paraId="15104838" w14:textId="0CB38368" w:rsidR="00FA70E3" w:rsidRDefault="00CF1004" w:rsidP="005E7B25">
      <w:pPr>
        <w:pStyle w:val="Heading2"/>
      </w:pPr>
      <w:r>
        <w:lastRenderedPageBreak/>
        <w:t xml:space="preserve">Q2 &amp; Q3 </w:t>
      </w:r>
      <w:r w:rsidR="00A83E55">
        <w:t>Analysis Extension</w:t>
      </w:r>
    </w:p>
    <w:p w14:paraId="45728DD2" w14:textId="2A257AFD" w:rsidR="000C7E4B" w:rsidRDefault="005E7B25" w:rsidP="00FA70E3">
      <w:r>
        <w:t>Figures 4 – 6 show the results of the paired sample t-tests. Starting with dropout rate, the analysis showed that in both title I and non-title I schools there was a significant decrease in the mean dropout rate. (p = 4.4E-8 and p = 1.7E-6 respectively) In non-title I schools, the mean dropout rate decreased from 1.57% to 0.96%, a 38.9% decrease. In title I schools, the mean dropout rate decreased from 5.39% to 3.32%, a 38.4% decrease.</w:t>
      </w:r>
      <w:r w:rsidR="003E0D05">
        <w:t xml:space="preserve"> </w:t>
      </w:r>
    </w:p>
    <w:p w14:paraId="5D0A4C1C" w14:textId="77777777" w:rsidR="00FA70E3" w:rsidRPr="00FA70E3" w:rsidRDefault="00FA70E3" w:rsidP="00FA70E3"/>
    <w:p w14:paraId="677A49B8" w14:textId="1EB1B935" w:rsidR="00B60182" w:rsidRDefault="00B60182" w:rsidP="00B60182">
      <w:r w:rsidRPr="00B60182">
        <w:drawing>
          <wp:inline distT="0" distB="0" distL="0" distR="0" wp14:anchorId="762889C2" wp14:editId="1CBC1C4A">
            <wp:extent cx="5943600" cy="2560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60955"/>
                    </a:xfrm>
                    <a:prstGeom prst="rect">
                      <a:avLst/>
                    </a:prstGeom>
                  </pic:spPr>
                </pic:pic>
              </a:graphicData>
            </a:graphic>
          </wp:inline>
        </w:drawing>
      </w:r>
    </w:p>
    <w:p w14:paraId="231AE3EC" w14:textId="31B66FC1" w:rsidR="00B60182" w:rsidRDefault="00B60182" w:rsidP="00B60182">
      <w:r w:rsidRPr="00B60182">
        <w:drawing>
          <wp:inline distT="0" distB="0" distL="0" distR="0" wp14:anchorId="74381171" wp14:editId="10562AF9">
            <wp:extent cx="5943600" cy="25253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25395"/>
                    </a:xfrm>
                    <a:prstGeom prst="rect">
                      <a:avLst/>
                    </a:prstGeom>
                  </pic:spPr>
                </pic:pic>
              </a:graphicData>
            </a:graphic>
          </wp:inline>
        </w:drawing>
      </w:r>
    </w:p>
    <w:p w14:paraId="3EEA1030" w14:textId="34DE1B74" w:rsidR="00371E11" w:rsidRDefault="00371E11" w:rsidP="00371E11">
      <w:pPr>
        <w:jc w:val="center"/>
      </w:pPr>
      <w:r>
        <w:t>Figure 4: Dropout rate histogram</w:t>
      </w:r>
      <w:r w:rsidR="00644836">
        <w:t>s</w:t>
      </w:r>
      <w:r>
        <w:t xml:space="preserve"> for title I and non-title I schools</w:t>
      </w:r>
    </w:p>
    <w:p w14:paraId="6340AE27" w14:textId="02E6CC93" w:rsidR="00AC2A59" w:rsidRDefault="00AC2A59" w:rsidP="00AC2A59"/>
    <w:p w14:paraId="6B42D347" w14:textId="77777777" w:rsidR="00086279" w:rsidRDefault="00086279" w:rsidP="00AC2A59"/>
    <w:p w14:paraId="67D5F043" w14:textId="77777777" w:rsidR="00061264" w:rsidRDefault="00061264" w:rsidP="00AC2A59"/>
    <w:p w14:paraId="0E745701" w14:textId="7FC6812C" w:rsidR="00A50B89" w:rsidRDefault="001965AD" w:rsidP="00AC2A59">
      <w:r>
        <w:lastRenderedPageBreak/>
        <w:t xml:space="preserve">Similarly, a significant decrease in attendance rate was observed in both title I and non-title I schools. (p=5.2E-98 and p=2.9E-17 respectively) </w:t>
      </w:r>
      <w:r w:rsidR="00EB4DAE">
        <w:t xml:space="preserve">In non-title I schools, the mean </w:t>
      </w:r>
      <w:r w:rsidR="00EB4DAE">
        <w:t>attendance</w:t>
      </w:r>
      <w:r w:rsidR="00EB4DAE">
        <w:t xml:space="preserve"> rate decreased from </w:t>
      </w:r>
      <w:r w:rsidR="00EB4DAE">
        <w:t>95.36%</w:t>
      </w:r>
      <w:r w:rsidR="00EB4DAE">
        <w:t xml:space="preserve"> to </w:t>
      </w:r>
      <w:r w:rsidR="00EB4DAE">
        <w:t>92.54</w:t>
      </w:r>
      <w:r w:rsidR="00EB4DAE">
        <w:t xml:space="preserve">%, a </w:t>
      </w:r>
      <w:r w:rsidR="00EB4DAE">
        <w:t>2.96%</w:t>
      </w:r>
      <w:r w:rsidR="00EB4DAE">
        <w:t xml:space="preserve"> decrease. In title I schools, the mean </w:t>
      </w:r>
      <w:r w:rsidR="00EB4DAE">
        <w:t>attendance</w:t>
      </w:r>
      <w:r w:rsidR="00EB4DAE">
        <w:t xml:space="preserve"> rate decreased from </w:t>
      </w:r>
      <w:r w:rsidR="00EB4DAE">
        <w:t>9</w:t>
      </w:r>
      <w:r w:rsidR="00EB4DAE">
        <w:t>5.3</w:t>
      </w:r>
      <w:r w:rsidR="00EB4DAE">
        <w:t>7</w:t>
      </w:r>
      <w:r w:rsidR="00EB4DAE">
        <w:t xml:space="preserve">% to </w:t>
      </w:r>
      <w:r w:rsidR="00EB4DAE">
        <w:t>90.69</w:t>
      </w:r>
      <w:r w:rsidR="00EB4DAE">
        <w:t xml:space="preserve">%, a </w:t>
      </w:r>
      <w:r w:rsidR="00742A11">
        <w:t>4.9%</w:t>
      </w:r>
      <w:r w:rsidR="00EB4DAE">
        <w:t xml:space="preserve"> decrease.</w:t>
      </w:r>
      <w:r w:rsidR="00644836">
        <w:t xml:space="preserve"> </w:t>
      </w:r>
    </w:p>
    <w:p w14:paraId="5AA890FD" w14:textId="4671F9DF" w:rsidR="00B60182" w:rsidRDefault="00B60182" w:rsidP="00B60182">
      <w:r w:rsidRPr="00B60182">
        <w:drawing>
          <wp:inline distT="0" distB="0" distL="0" distR="0" wp14:anchorId="4E017F6B" wp14:editId="49953FD9">
            <wp:extent cx="5943600" cy="259397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93975"/>
                    </a:xfrm>
                    <a:prstGeom prst="rect">
                      <a:avLst/>
                    </a:prstGeom>
                  </pic:spPr>
                </pic:pic>
              </a:graphicData>
            </a:graphic>
          </wp:inline>
        </w:drawing>
      </w:r>
    </w:p>
    <w:p w14:paraId="1D8BC372" w14:textId="7D568332" w:rsidR="00D6214A" w:rsidRDefault="00D6214A" w:rsidP="00B60182">
      <w:r w:rsidRPr="00D6214A">
        <w:drawing>
          <wp:inline distT="0" distB="0" distL="0" distR="0" wp14:anchorId="6975C0F9" wp14:editId="03234165">
            <wp:extent cx="5943600" cy="2540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40635"/>
                    </a:xfrm>
                    <a:prstGeom prst="rect">
                      <a:avLst/>
                    </a:prstGeom>
                  </pic:spPr>
                </pic:pic>
              </a:graphicData>
            </a:graphic>
          </wp:inline>
        </w:drawing>
      </w:r>
    </w:p>
    <w:p w14:paraId="476F8721" w14:textId="3EB4B059" w:rsidR="00644836" w:rsidRDefault="00644836" w:rsidP="00644836">
      <w:pPr>
        <w:jc w:val="center"/>
      </w:pPr>
      <w:r>
        <w:t xml:space="preserve">Figure </w:t>
      </w:r>
      <w:r>
        <w:t>5</w:t>
      </w:r>
      <w:r>
        <w:t xml:space="preserve">: </w:t>
      </w:r>
      <w:r>
        <w:t>Attendance</w:t>
      </w:r>
      <w:r>
        <w:t xml:space="preserve"> rate histogram</w:t>
      </w:r>
      <w:r>
        <w:t>s</w:t>
      </w:r>
      <w:r>
        <w:t xml:space="preserve"> for title I and non-title I schools</w:t>
      </w:r>
    </w:p>
    <w:p w14:paraId="7AF40C12" w14:textId="156F15AE" w:rsidR="00644836" w:rsidRDefault="00644836" w:rsidP="005D4C68"/>
    <w:p w14:paraId="619F77CB" w14:textId="3DC3A0CE" w:rsidR="00061264" w:rsidRDefault="00061264" w:rsidP="005D4C68"/>
    <w:p w14:paraId="14FCD48F" w14:textId="42731DA2" w:rsidR="00061264" w:rsidRDefault="00061264" w:rsidP="005D4C68"/>
    <w:p w14:paraId="5544A5B8" w14:textId="459663D4" w:rsidR="00061264" w:rsidRDefault="00061264" w:rsidP="005D4C68"/>
    <w:p w14:paraId="358089A4" w14:textId="1F2D3950" w:rsidR="00061264" w:rsidRDefault="00061264" w:rsidP="005D4C68"/>
    <w:p w14:paraId="24FC78A6" w14:textId="04AD2FD5" w:rsidR="00061264" w:rsidRDefault="00061264" w:rsidP="005D4C68"/>
    <w:p w14:paraId="0310A259" w14:textId="4406CEAC" w:rsidR="00061264" w:rsidRDefault="003F0E2D" w:rsidP="005D4C68">
      <w:r>
        <w:lastRenderedPageBreak/>
        <w:t>Finally, teacher retention rate saw a</w:t>
      </w:r>
      <w:r w:rsidR="00500663">
        <w:t xml:space="preserve"> statistically significant</w:t>
      </w:r>
      <w:r>
        <w:t xml:space="preserve"> improvement in both title I and non-title I schools.</w:t>
      </w:r>
      <w:r w:rsidR="00500663">
        <w:t xml:space="preserve"> (p=4.4E-31 and p=4.1E-3 respectively)</w:t>
      </w:r>
      <w:r>
        <w:t xml:space="preserve"> </w:t>
      </w:r>
      <w:r w:rsidR="00500663">
        <w:t xml:space="preserve">In non-title I schools, the mean </w:t>
      </w:r>
      <w:r w:rsidR="00500663">
        <w:t>retention</w:t>
      </w:r>
      <w:r w:rsidR="00500663">
        <w:t xml:space="preserve"> rate </w:t>
      </w:r>
      <w:r w:rsidR="00500663">
        <w:t>increased</w:t>
      </w:r>
      <w:r w:rsidR="00500663">
        <w:t xml:space="preserve"> from </w:t>
      </w:r>
      <w:r w:rsidR="00500663">
        <w:t>80.13</w:t>
      </w:r>
      <w:r w:rsidR="00500663">
        <w:t xml:space="preserve">% to </w:t>
      </w:r>
      <w:r w:rsidR="00500663">
        <w:t>81.01</w:t>
      </w:r>
      <w:r w:rsidR="00500663">
        <w:t xml:space="preserve">%, a </w:t>
      </w:r>
      <w:r w:rsidR="00500663">
        <w:t>1.1</w:t>
      </w:r>
      <w:r w:rsidR="00500663">
        <w:t xml:space="preserve">% </w:t>
      </w:r>
      <w:r w:rsidR="00500663">
        <w:t>increase</w:t>
      </w:r>
      <w:r w:rsidR="00500663">
        <w:t xml:space="preserve">. In title I schools, the mean </w:t>
      </w:r>
      <w:r w:rsidR="00500663">
        <w:t>retention</w:t>
      </w:r>
      <w:r w:rsidR="00500663">
        <w:t xml:space="preserve"> rate </w:t>
      </w:r>
      <w:r w:rsidR="00500663">
        <w:t>increased</w:t>
      </w:r>
      <w:r w:rsidR="00500663">
        <w:t xml:space="preserve"> from </w:t>
      </w:r>
      <w:r w:rsidR="00500663">
        <w:t>82.35</w:t>
      </w:r>
      <w:r w:rsidR="00500663">
        <w:t xml:space="preserve">% to </w:t>
      </w:r>
      <w:r w:rsidR="00500663">
        <w:t>85.39</w:t>
      </w:r>
      <w:r w:rsidR="00500663">
        <w:t xml:space="preserve">%, a </w:t>
      </w:r>
      <w:r w:rsidR="00500663">
        <w:t>3.69</w:t>
      </w:r>
      <w:r w:rsidR="00500663">
        <w:t xml:space="preserve">% </w:t>
      </w:r>
      <w:r w:rsidR="00500663">
        <w:t>increase</w:t>
      </w:r>
      <w:r w:rsidR="00500663">
        <w:t>.</w:t>
      </w:r>
    </w:p>
    <w:p w14:paraId="58391117" w14:textId="2F056578" w:rsidR="00D6214A" w:rsidRDefault="00D6214A" w:rsidP="00B60182">
      <w:r w:rsidRPr="00D6214A">
        <w:drawing>
          <wp:inline distT="0" distB="0" distL="0" distR="0" wp14:anchorId="7312765D" wp14:editId="00F2FC46">
            <wp:extent cx="5943600" cy="2458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58085"/>
                    </a:xfrm>
                    <a:prstGeom prst="rect">
                      <a:avLst/>
                    </a:prstGeom>
                  </pic:spPr>
                </pic:pic>
              </a:graphicData>
            </a:graphic>
          </wp:inline>
        </w:drawing>
      </w:r>
    </w:p>
    <w:p w14:paraId="7D127FFC" w14:textId="071BEFFB" w:rsidR="00D6214A" w:rsidRPr="00B60182" w:rsidRDefault="00D6214A" w:rsidP="00B60182">
      <w:r w:rsidRPr="00D6214A">
        <w:drawing>
          <wp:inline distT="0" distB="0" distL="0" distR="0" wp14:anchorId="55D213A0" wp14:editId="546B4193">
            <wp:extent cx="5943600" cy="25647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64765"/>
                    </a:xfrm>
                    <a:prstGeom prst="rect">
                      <a:avLst/>
                    </a:prstGeom>
                  </pic:spPr>
                </pic:pic>
              </a:graphicData>
            </a:graphic>
          </wp:inline>
        </w:drawing>
      </w:r>
    </w:p>
    <w:p w14:paraId="7E9F52D1" w14:textId="7A4B975B" w:rsidR="0066682D" w:rsidRDefault="0066682D" w:rsidP="0066682D">
      <w:pPr>
        <w:jc w:val="center"/>
      </w:pPr>
      <w:r>
        <w:t>Figure 6: Teacher retention</w:t>
      </w:r>
      <w:r>
        <w:t xml:space="preserve"> rate histograms for title I and non-title I schools</w:t>
      </w:r>
    </w:p>
    <w:p w14:paraId="44584DFF" w14:textId="794DB565" w:rsidR="0066682D" w:rsidRDefault="0066682D" w:rsidP="00F046ED">
      <w:pPr>
        <w:pStyle w:val="Heading1"/>
      </w:pPr>
    </w:p>
    <w:p w14:paraId="3534EF65" w14:textId="4AD0C1E5" w:rsidR="00820027" w:rsidRDefault="00820027" w:rsidP="00820027"/>
    <w:p w14:paraId="45AB3D9E" w14:textId="74C931B8" w:rsidR="00820027" w:rsidRDefault="00820027" w:rsidP="00820027"/>
    <w:p w14:paraId="658549CA" w14:textId="77777777" w:rsidR="00511647" w:rsidRDefault="00511647" w:rsidP="00820027"/>
    <w:p w14:paraId="5D655672" w14:textId="6C418E0C" w:rsidR="00815777" w:rsidRDefault="00F046ED" w:rsidP="00B91997">
      <w:pPr>
        <w:pStyle w:val="Heading1"/>
      </w:pPr>
      <w:r>
        <w:lastRenderedPageBreak/>
        <w:t>Discussion</w:t>
      </w:r>
    </w:p>
    <w:p w14:paraId="4FB1007D" w14:textId="77777777" w:rsidR="00E94F2B" w:rsidRDefault="00B91997" w:rsidP="00B91997">
      <w:r>
        <w:t xml:space="preserve">Answering questions adequately about the pandemic is difficult, especially while the situation is constantly developing. </w:t>
      </w:r>
      <w:r w:rsidR="00E94F2B">
        <w:t>It is difficult to make definitive statements in a constantly changing situation, but the</w:t>
      </w:r>
      <w:r>
        <w:t xml:space="preserve"> three hypotheses discussed in this pape</w:t>
      </w:r>
      <w:r w:rsidR="00E94F2B">
        <w:t xml:space="preserve">r, H1-3, have been tested in this analysis. </w:t>
      </w:r>
    </w:p>
    <w:p w14:paraId="75383898" w14:textId="2615FB4C" w:rsidR="00B91997" w:rsidRDefault="00E94F2B" w:rsidP="00B91997">
      <w:r>
        <w:t>The first hypothesis tested (H1) was not adequately answered using the SIRD model, but the visualization suggests that after the two mask mandates were put into place, there was a decrease in new cas</w:t>
      </w:r>
      <w:r w:rsidR="00692576">
        <w:t>es</w:t>
      </w:r>
      <w:r>
        <w:t>. Due to the many factors that affect the spread of the virus, we do see that regardless of the mask mandate, there was an increase in case rates during the winter time. A topic of future study can be to address why this occurs, but current theories suggest that it could be due to people staying inside more often.</w:t>
      </w:r>
    </w:p>
    <w:p w14:paraId="4E3F9A9C" w14:textId="13F4050F" w:rsidR="00AA2105" w:rsidRDefault="00AA2105" w:rsidP="00B91997">
      <w:r>
        <w:t xml:space="preserve">The second hypothesis tested (H2) </w:t>
      </w:r>
      <w:r w:rsidR="00097A45">
        <w:t xml:space="preserve">was partially confirmed. While rates of attendance worsened in schools, the dropout rate and teacher retention rate improved. </w:t>
      </w:r>
      <w:r w:rsidR="007D142A">
        <w:t xml:space="preserve">It is difficult to conclude whether this finding indicates a worsening or improvement in the total quality of education. The effects of missing a few months of schooling and the low attendance rates may take time to reveal themselves. </w:t>
      </w:r>
      <w:r w:rsidR="00097A45">
        <w:t xml:space="preserve">This finding shows the value in exploring digital learning as an option for schools in the future. Future longitudinal studies should be performed on children to identify what impacts this pandemic will have on the education of this generation after they </w:t>
      </w:r>
      <w:r w:rsidR="00E95886">
        <w:t>finish schooling</w:t>
      </w:r>
      <w:r w:rsidR="00097A45">
        <w:t xml:space="preserve">. </w:t>
      </w:r>
    </w:p>
    <w:p w14:paraId="5C92E0CA" w14:textId="4CB1164E" w:rsidR="00097A45" w:rsidRPr="00B91997" w:rsidRDefault="00097A45" w:rsidP="00B91997">
      <w:r>
        <w:t>The third hypothesis (H3)</w:t>
      </w:r>
      <w:r w:rsidR="00713006">
        <w:t xml:space="preserve"> also had partial confirmation. While dropout rates </w:t>
      </w:r>
      <w:r w:rsidR="003A5168">
        <w:t>and teacher retention rates both saw improvement</w:t>
      </w:r>
      <w:r w:rsidR="00BD594B">
        <w:t>, disproving the hypothe</w:t>
      </w:r>
      <w:r w:rsidR="00701F33">
        <w:t>s</w:t>
      </w:r>
      <w:r w:rsidR="00BD594B">
        <w:t>is</w:t>
      </w:r>
      <w:r w:rsidR="003A5168">
        <w:t xml:space="preserve">, we see that attendance in title I schools saw a much larger decrease than in non-title I schools. Future studies can look into this disparity to better understand why this happened and what can be done to ensure </w:t>
      </w:r>
      <w:r w:rsidR="005C031B">
        <w:t>attendance</w:t>
      </w:r>
      <w:r w:rsidR="003A5168">
        <w:t xml:space="preserve"> equity in the future.</w:t>
      </w:r>
    </w:p>
    <w:p w14:paraId="0C460122" w14:textId="081923D9" w:rsidR="00F046ED" w:rsidRDefault="00F046ED" w:rsidP="00F046ED">
      <w:pPr>
        <w:pStyle w:val="Heading1"/>
      </w:pPr>
      <w:r>
        <w:t>Limitations</w:t>
      </w:r>
    </w:p>
    <w:p w14:paraId="4780DFDF" w14:textId="4497F885" w:rsidR="008703A2" w:rsidRDefault="00EE3C71" w:rsidP="008703A2">
      <w:r>
        <w:t>There are many limitations to this study. As discussed earlier, the SIRD model was inadequate to capture enough of the factors that impact the spread of COVID-19. While visually it may appear that case rates declined after the institution of a mask mandate, a broader study will have to be conducted to reach a consensus on whether it works in every scenario. In this scenario, mask compliance was at a re</w:t>
      </w:r>
      <w:r w:rsidR="002C68AC">
        <w:t>latively high level of 98% reporting they at least rarely wear a mask, with 72% reporting that they always wear a mask. (DS6) It would be interesting to see whether this drop in case rates appeared in areas with low levels of mask compliance.</w:t>
      </w:r>
    </w:p>
    <w:p w14:paraId="1525E448" w14:textId="5416B660" w:rsidR="002C68AC" w:rsidRPr="008703A2" w:rsidRDefault="002C68AC" w:rsidP="008703A2">
      <w:r>
        <w:t xml:space="preserve">A key limitation of the education analysis was the loosening in graduation requirements that occurred just as the pandemic was starting. </w:t>
      </w:r>
      <w:sdt>
        <w:sdtPr>
          <w:id w:val="-1855561833"/>
          <w:citation/>
        </w:sdtPr>
        <w:sdtContent>
          <w:r>
            <w:fldChar w:fldCharType="begin"/>
          </w:r>
          <w:r>
            <w:instrText xml:space="preserve"> CITATION Chi20 \l 1033 </w:instrText>
          </w:r>
          <w:r>
            <w:fldChar w:fldCharType="separate"/>
          </w:r>
          <w:r>
            <w:rPr>
              <w:noProof/>
            </w:rPr>
            <w:t>(Chicago Public Schools, 2020)</w:t>
          </w:r>
          <w:r>
            <w:fldChar w:fldCharType="end"/>
          </w:r>
        </w:sdtContent>
      </w:sdt>
      <w:r>
        <w:t xml:space="preserve"> Given the timing of this change in policy, it is reasonable to expect that high schoolers who were planning on dropping out may have already done so prior to this change in requirements being put into place. Since there is no evidence of these graduation requirements changing for the following year, it is possible that the improvement in graduation rates can be attributed to these laxed requirements. </w:t>
      </w:r>
    </w:p>
    <w:p w14:paraId="6B311996" w14:textId="2FD46FB4" w:rsidR="00E45871" w:rsidRDefault="00E45871" w:rsidP="00072428"/>
    <w:p w14:paraId="03CE0CC2" w14:textId="77777777" w:rsidR="00511647" w:rsidRPr="00072428" w:rsidRDefault="00511647" w:rsidP="00072428"/>
    <w:p w14:paraId="73C99954" w14:textId="456CC497" w:rsidR="00F046ED" w:rsidRDefault="00F046ED" w:rsidP="00F046ED">
      <w:pPr>
        <w:pStyle w:val="Heading1"/>
      </w:pPr>
      <w:r>
        <w:lastRenderedPageBreak/>
        <w:t>Conclusion</w:t>
      </w:r>
    </w:p>
    <w:p w14:paraId="78BEB882" w14:textId="12CC2314" w:rsidR="00511647" w:rsidRDefault="00511647" w:rsidP="00511647">
      <w:r>
        <w:t>The findings from this study are numerable:</w:t>
      </w:r>
    </w:p>
    <w:p w14:paraId="3C6A7D60" w14:textId="3C74199D" w:rsidR="00511647" w:rsidRDefault="00511647" w:rsidP="00511647">
      <w:pPr>
        <w:pStyle w:val="ListParagraph"/>
        <w:numPr>
          <w:ilvl w:val="0"/>
          <w:numId w:val="10"/>
        </w:numPr>
      </w:pPr>
      <w:r>
        <w:t>There is evidence that shortly after a mask mandate was put into place, there was a drop in new cases in Cook County, IL.</w:t>
      </w:r>
    </w:p>
    <w:p w14:paraId="73EC436A" w14:textId="6C6BE25C" w:rsidR="00511647" w:rsidRPr="00511647" w:rsidRDefault="00511647" w:rsidP="00511647">
      <w:pPr>
        <w:pStyle w:val="ListParagraph"/>
        <w:numPr>
          <w:ilvl w:val="0"/>
          <w:numId w:val="10"/>
        </w:numPr>
      </w:pPr>
      <w:r w:rsidRPr="00511647">
        <w:t>Dropout rates declined for both title I and non-title I schools</w:t>
      </w:r>
      <w:r w:rsidR="00103948">
        <w:t xml:space="preserve"> in </w:t>
      </w:r>
      <w:r w:rsidR="00103948">
        <w:t>Cook County, IL.</w:t>
      </w:r>
    </w:p>
    <w:p w14:paraId="49E334D7" w14:textId="2044239D" w:rsidR="00511647" w:rsidRPr="00511647" w:rsidRDefault="00511647" w:rsidP="00511647">
      <w:pPr>
        <w:pStyle w:val="ListParagraph"/>
        <w:numPr>
          <w:ilvl w:val="0"/>
          <w:numId w:val="10"/>
        </w:numPr>
      </w:pPr>
      <w:r w:rsidRPr="00511647">
        <w:t>Student attendance declined for both title I and non-title I schools</w:t>
      </w:r>
      <w:r>
        <w:t>, with there being a larger impact on title I schools</w:t>
      </w:r>
      <w:r w:rsidR="002E0F4E">
        <w:t xml:space="preserve"> in </w:t>
      </w:r>
      <w:r w:rsidR="002E0F4E">
        <w:t>Cook County, IL.</w:t>
      </w:r>
    </w:p>
    <w:p w14:paraId="5796DCC1" w14:textId="1BC5103B" w:rsidR="00511647" w:rsidRDefault="00511647" w:rsidP="00511647">
      <w:pPr>
        <w:pStyle w:val="ListParagraph"/>
        <w:numPr>
          <w:ilvl w:val="0"/>
          <w:numId w:val="10"/>
        </w:numPr>
      </w:pPr>
      <w:r w:rsidRPr="00511647">
        <w:t>Teacher retention rates increased for both title I and non-title I schools</w:t>
      </w:r>
      <w:r w:rsidR="002E0F4E">
        <w:t xml:space="preserve"> in </w:t>
      </w:r>
      <w:r w:rsidR="002E0F4E">
        <w:t>Cook County, IL.</w:t>
      </w:r>
    </w:p>
    <w:p w14:paraId="473D3AF2" w14:textId="539B3404" w:rsidR="007D5DBF" w:rsidRPr="00511647" w:rsidRDefault="007D5DBF" w:rsidP="007D5DBF">
      <w:r>
        <w:t xml:space="preserve">This has </w:t>
      </w:r>
      <w:r w:rsidR="007E7A99">
        <w:t>given me an increased appreciation for the work that COVID researchers do to attempt to answer these important questions. While a</w:t>
      </w:r>
      <w:r w:rsidR="004C22F1">
        <w:t xml:space="preserve">n extremely complex, worldwide event </w:t>
      </w:r>
      <w:r w:rsidR="007E7A99">
        <w:t>is developing it is very hard to come to an accurate conclusion</w:t>
      </w:r>
      <w:r w:rsidR="004C22F1">
        <w:t xml:space="preserve"> on what impact it has had</w:t>
      </w:r>
      <w:r w:rsidR="007E7A99">
        <w:t>, but there is certainly value in trying.</w:t>
      </w:r>
    </w:p>
    <w:p w14:paraId="15875F4C" w14:textId="77777777" w:rsidR="00514AF4" w:rsidRDefault="00514AF4" w:rsidP="00E63D2A"/>
    <w:p w14:paraId="3EA73B2D" w14:textId="77777777" w:rsidR="00514AF4" w:rsidRDefault="00514AF4" w:rsidP="00E63D2A"/>
    <w:p w14:paraId="04068BFD" w14:textId="77777777" w:rsidR="00514AF4" w:rsidRDefault="00514AF4" w:rsidP="00E63D2A"/>
    <w:p w14:paraId="316C80B3" w14:textId="19AF07B1" w:rsidR="00514AF4" w:rsidRDefault="00514AF4" w:rsidP="00E63D2A"/>
    <w:p w14:paraId="6AC6C693" w14:textId="66BCD4DC" w:rsidR="00A97B22" w:rsidRDefault="00A97B22" w:rsidP="00E63D2A"/>
    <w:p w14:paraId="753EE5A5" w14:textId="08FCD019" w:rsidR="00A97B22" w:rsidRDefault="00A97B22" w:rsidP="00E63D2A"/>
    <w:p w14:paraId="65C80AF3" w14:textId="4658EB23" w:rsidR="00A97B22" w:rsidRDefault="00A97B22" w:rsidP="00E63D2A"/>
    <w:p w14:paraId="5C4175E7" w14:textId="5655171A" w:rsidR="00A97B22" w:rsidRDefault="00A97B22" w:rsidP="00E63D2A"/>
    <w:p w14:paraId="196427C6" w14:textId="32569CEA" w:rsidR="00A97B22" w:rsidRDefault="00A97B22" w:rsidP="00E63D2A"/>
    <w:p w14:paraId="3FCE8983" w14:textId="717E2B85" w:rsidR="00A97B22" w:rsidRDefault="00A97B22" w:rsidP="00E63D2A"/>
    <w:p w14:paraId="105891B8" w14:textId="30DAF1D2" w:rsidR="00A97B22" w:rsidRDefault="00A97B22" w:rsidP="00E63D2A"/>
    <w:p w14:paraId="5A7BE50C" w14:textId="5E0EDC71" w:rsidR="00A97B22" w:rsidRDefault="00A97B22" w:rsidP="00E63D2A"/>
    <w:p w14:paraId="7B2BC825" w14:textId="59AA1F43" w:rsidR="00A97B22" w:rsidRDefault="00A97B22" w:rsidP="00E63D2A"/>
    <w:p w14:paraId="6E7E35DD" w14:textId="7AE54808" w:rsidR="00A97B22" w:rsidRDefault="00A97B22" w:rsidP="00E63D2A"/>
    <w:p w14:paraId="490958B6" w14:textId="069D1710" w:rsidR="00A97B22" w:rsidRDefault="00A97B22" w:rsidP="00E63D2A"/>
    <w:p w14:paraId="538A653A" w14:textId="77777777" w:rsidR="00A97B22" w:rsidRDefault="00A97B22" w:rsidP="00E63D2A"/>
    <w:p w14:paraId="43E17D0E" w14:textId="77777777" w:rsidR="00514AF4" w:rsidRDefault="00514AF4" w:rsidP="00E63D2A"/>
    <w:p w14:paraId="2F518B1C" w14:textId="77777777" w:rsidR="00514AF4" w:rsidRDefault="00514AF4" w:rsidP="00E63D2A"/>
    <w:p w14:paraId="6806C41A" w14:textId="4EBC1C44" w:rsidR="00514AF4" w:rsidRDefault="00920A01" w:rsidP="00E63D2A">
      <w:r>
        <w:t xml:space="preserve"> </w:t>
      </w:r>
    </w:p>
    <w:sdt>
      <w:sdtPr>
        <w:id w:val="-435905569"/>
        <w:docPartObj>
          <w:docPartGallery w:val="Bibliographies"/>
          <w:docPartUnique/>
        </w:docPartObj>
      </w:sdtPr>
      <w:sdtEndPr>
        <w:rPr>
          <w:rFonts w:asciiTheme="minorHAnsi" w:eastAsiaTheme="minorHAnsi" w:hAnsiTheme="minorHAnsi" w:cstheme="minorBidi"/>
          <w:color w:val="auto"/>
          <w:sz w:val="22"/>
          <w:szCs w:val="22"/>
        </w:rPr>
      </w:sdtEndPr>
      <w:sdtContent>
        <w:p w14:paraId="669E16CC" w14:textId="65C288B1" w:rsidR="00514AF4" w:rsidRDefault="00514AF4">
          <w:pPr>
            <w:pStyle w:val="Heading1"/>
          </w:pPr>
          <w:r>
            <w:t>References</w:t>
          </w:r>
        </w:p>
        <w:sdt>
          <w:sdtPr>
            <w:id w:val="-573587230"/>
            <w:bibliography/>
          </w:sdtPr>
          <w:sdtContent>
            <w:p w14:paraId="2DEF619B" w14:textId="77777777" w:rsidR="00120900" w:rsidRDefault="00514AF4" w:rsidP="00120900">
              <w:pPr>
                <w:pStyle w:val="Bibliography"/>
                <w:ind w:left="720" w:hanging="720"/>
                <w:rPr>
                  <w:noProof/>
                  <w:sz w:val="24"/>
                  <w:szCs w:val="24"/>
                </w:rPr>
              </w:pPr>
              <w:r>
                <w:fldChar w:fldCharType="begin"/>
              </w:r>
              <w:r>
                <w:instrText xml:space="preserve"> BIBLIOGRAPHY </w:instrText>
              </w:r>
              <w:r>
                <w:fldChar w:fldCharType="separate"/>
              </w:r>
              <w:r w:rsidR="00120900">
                <w:rPr>
                  <w:noProof/>
                </w:rPr>
                <w:t xml:space="preserve">Chicago Public Schools. (2020, April 30). </w:t>
              </w:r>
              <w:r w:rsidR="00120900">
                <w:rPr>
                  <w:i/>
                  <w:iCs/>
                  <w:noProof/>
                </w:rPr>
                <w:t>Chicago Public Schools Releases Equity-Focused Guidance on Grading, Graduation Requirements and Promotion Policy</w:t>
              </w:r>
              <w:r w:rsidR="00120900">
                <w:rPr>
                  <w:noProof/>
                </w:rPr>
                <w:t>. Retrieved from Chicago Public Schools Web Site: https://www.cps.edu/press-releases/chicago-public-schools-releases-equity-focused-guidance-on-grading-graduation-requirements-and-promotion-policy/</w:t>
              </w:r>
            </w:p>
            <w:p w14:paraId="538038DF" w14:textId="77777777" w:rsidR="00120900" w:rsidRDefault="00120900" w:rsidP="00120900">
              <w:pPr>
                <w:pStyle w:val="Bibliography"/>
                <w:ind w:left="720" w:hanging="720"/>
                <w:rPr>
                  <w:noProof/>
                </w:rPr>
              </w:pPr>
              <w:r>
                <w:rPr>
                  <w:noProof/>
                </w:rPr>
                <w:t xml:space="preserve">Fernández-Villaverde, J., &amp; Jones, C. (2020). Estimating and Simulating a SIRD Model of COVID-19 for Many Countries, States, and Cities. </w:t>
              </w:r>
              <w:r>
                <w:rPr>
                  <w:i/>
                  <w:iCs/>
                  <w:noProof/>
                </w:rPr>
                <w:t>National Bureau of Economic Research</w:t>
              </w:r>
              <w:r>
                <w:rPr>
                  <w:noProof/>
                </w:rPr>
                <w:t>.</w:t>
              </w:r>
            </w:p>
            <w:p w14:paraId="79129A60" w14:textId="77777777" w:rsidR="00120900" w:rsidRDefault="00120900" w:rsidP="00120900">
              <w:pPr>
                <w:pStyle w:val="Bibliography"/>
                <w:ind w:left="720" w:hanging="720"/>
                <w:rPr>
                  <w:noProof/>
                </w:rPr>
              </w:pPr>
              <w:r>
                <w:rPr>
                  <w:noProof/>
                </w:rPr>
                <w:t xml:space="preserve">Ginsburg. (2014). </w:t>
              </w:r>
              <w:r>
                <w:rPr>
                  <w:i/>
                  <w:iCs/>
                  <w:noProof/>
                </w:rPr>
                <w:t>Key Education Indicators for NAEP: A Composite Indicator Approach.</w:t>
              </w:r>
              <w:r>
                <w:rPr>
                  <w:noProof/>
                </w:rPr>
                <w:t xml:space="preserve"> Washington, District of Columbia: National Assessment Governing Board. Retrieved from https://www.nagb.gov/focus-areas/reports/key-education-indicators-for-naep.html</w:t>
              </w:r>
            </w:p>
            <w:p w14:paraId="59B94D22" w14:textId="77777777" w:rsidR="00120900" w:rsidRDefault="00120900" w:rsidP="00120900">
              <w:pPr>
                <w:pStyle w:val="Bibliography"/>
                <w:ind w:left="720" w:hanging="720"/>
                <w:rPr>
                  <w:noProof/>
                </w:rPr>
              </w:pPr>
              <w:r>
                <w:rPr>
                  <w:noProof/>
                </w:rPr>
                <w:t xml:space="preserve">Macy, M. L., Smith, T. L., Cartland, J., Golbeck, E., &amp; Davis, M. M. (2021). Parent‐reported hesitancy to seek emergency care for children at the crest of the first wave of COVID‐19 in Chicago. </w:t>
              </w:r>
              <w:r>
                <w:rPr>
                  <w:i/>
                  <w:iCs/>
                  <w:noProof/>
                </w:rPr>
                <w:t>Academic emergency medicine</w:t>
              </w:r>
              <w:r>
                <w:rPr>
                  <w:noProof/>
                </w:rPr>
                <w:t>, 355-358.</w:t>
              </w:r>
            </w:p>
            <w:p w14:paraId="34D0FFB9" w14:textId="77777777" w:rsidR="00120900" w:rsidRDefault="00120900" w:rsidP="00120900">
              <w:pPr>
                <w:pStyle w:val="Bibliography"/>
                <w:ind w:left="720" w:hanging="720"/>
                <w:rPr>
                  <w:noProof/>
                </w:rPr>
              </w:pPr>
              <w:r>
                <w:rPr>
                  <w:noProof/>
                </w:rPr>
                <w:t xml:space="preserve">microCOVID Project. (2021, November 4). </w:t>
              </w:r>
              <w:r>
                <w:rPr>
                  <w:i/>
                  <w:iCs/>
                  <w:noProof/>
                </w:rPr>
                <w:t>Research Sources</w:t>
              </w:r>
              <w:r>
                <w:rPr>
                  <w:noProof/>
                </w:rPr>
                <w:t>. Retrieved from microCOVID Project: https://www.microcovid.org/paper/14-research-sources</w:t>
              </w:r>
            </w:p>
            <w:p w14:paraId="50EF2509" w14:textId="77777777" w:rsidR="00120900" w:rsidRDefault="00120900" w:rsidP="00120900">
              <w:pPr>
                <w:pStyle w:val="Bibliography"/>
                <w:ind w:left="720" w:hanging="720"/>
                <w:rPr>
                  <w:noProof/>
                </w:rPr>
              </w:pPr>
              <w:r>
                <w:rPr>
                  <w:noProof/>
                </w:rPr>
                <w:t xml:space="preserve">Mustanski, B. S. (2021). Geographic disparities in COVID-19 case rates are not reflected in seropositivity rates using a neighborhood survey in Chicago. </w:t>
              </w:r>
              <w:r>
                <w:rPr>
                  <w:i/>
                  <w:iCs/>
                  <w:noProof/>
                </w:rPr>
                <w:t>Annals of epidemiology</w:t>
              </w:r>
              <w:r>
                <w:rPr>
                  <w:noProof/>
                </w:rPr>
                <w:t>.</w:t>
              </w:r>
            </w:p>
            <w:p w14:paraId="016CB964" w14:textId="77777777" w:rsidR="00120900" w:rsidRDefault="00120900" w:rsidP="00120900">
              <w:pPr>
                <w:pStyle w:val="Bibliography"/>
                <w:ind w:left="720" w:hanging="720"/>
                <w:rPr>
                  <w:noProof/>
                </w:rPr>
              </w:pPr>
              <w:r>
                <w:rPr>
                  <w:noProof/>
                </w:rPr>
                <w:t xml:space="preserve">Peeples, L. (2020, 10 6). </w:t>
              </w:r>
              <w:r>
                <w:rPr>
                  <w:i/>
                  <w:iCs/>
                  <w:noProof/>
                </w:rPr>
                <w:t>Face masks: what the data say</w:t>
              </w:r>
              <w:r>
                <w:rPr>
                  <w:noProof/>
                </w:rPr>
                <w:t>. Retrieved from nature: https://www.nature.com/articles/d41586-020-02801-8</w:t>
              </w:r>
            </w:p>
            <w:p w14:paraId="4310F31E" w14:textId="77777777" w:rsidR="00120900" w:rsidRDefault="00120900" w:rsidP="00120900">
              <w:pPr>
                <w:pStyle w:val="Bibliography"/>
                <w:ind w:left="720" w:hanging="720"/>
                <w:rPr>
                  <w:noProof/>
                </w:rPr>
              </w:pPr>
              <w:r>
                <w:rPr>
                  <w:noProof/>
                </w:rPr>
                <w:t xml:space="preserve">U.S. Department of Education. (2018, October 24). </w:t>
              </w:r>
              <w:r>
                <w:rPr>
                  <w:i/>
                  <w:iCs/>
                  <w:noProof/>
                </w:rPr>
                <w:t>Improving Basic Programs Operated by Local Educational Agencies (Title I, Part A)</w:t>
              </w:r>
              <w:r>
                <w:rPr>
                  <w:noProof/>
                </w:rPr>
                <w:t>. Retrieved from U.S. Department of Education Web Site: https://www2.ed.gov/programs/titleiparta/index.html</w:t>
              </w:r>
            </w:p>
            <w:p w14:paraId="136EFFBC" w14:textId="41A10885" w:rsidR="00E63D2A" w:rsidRPr="00E63D2A" w:rsidRDefault="00514AF4" w:rsidP="00120900">
              <w:r>
                <w:rPr>
                  <w:b/>
                  <w:bCs/>
                  <w:noProof/>
                </w:rPr>
                <w:fldChar w:fldCharType="end"/>
              </w:r>
            </w:p>
          </w:sdtContent>
        </w:sdt>
      </w:sdtContent>
    </w:sdt>
    <w:p w14:paraId="2C629E6F" w14:textId="77777777" w:rsidR="00022B99" w:rsidRDefault="00022B99" w:rsidP="00022B99">
      <w:pPr>
        <w:pStyle w:val="Heading1"/>
      </w:pPr>
    </w:p>
    <w:p w14:paraId="1D66E25C" w14:textId="7434E5D9" w:rsidR="00D834F4" w:rsidRPr="00D834F4" w:rsidRDefault="00F046ED" w:rsidP="00022B99">
      <w:pPr>
        <w:pStyle w:val="Heading1"/>
      </w:pPr>
      <w:r>
        <w:t>Data Sources</w:t>
      </w:r>
    </w:p>
    <w:p w14:paraId="22995E9D" w14:textId="40F77ADB" w:rsidR="00F046ED" w:rsidRPr="00F046ED" w:rsidRDefault="005C031B" w:rsidP="00F046ED">
      <w:hyperlink r:id="rId16" w:history="1">
        <w:r w:rsidR="00D834F4">
          <w:rPr>
            <w:rStyle w:val="Hyperlink"/>
            <w:rFonts w:ascii="Segoe UI" w:hAnsi="Segoe UI" w:cs="Segoe UI"/>
            <w:shd w:val="clear" w:color="auto" w:fill="FFFFFF"/>
          </w:rPr>
          <w:t>DS1: I</w:t>
        </w:r>
        <w:r w:rsidR="007D5ADE">
          <w:rPr>
            <w:rStyle w:val="Hyperlink"/>
            <w:rFonts w:ascii="Segoe UI" w:hAnsi="Segoe UI" w:cs="Segoe UI"/>
            <w:shd w:val="clear" w:color="auto" w:fill="FFFFFF"/>
          </w:rPr>
          <w:t>llinois Report Card Data</w:t>
        </w:r>
      </w:hyperlink>
      <w:r w:rsidR="007D5ADE">
        <w:rPr>
          <w:rFonts w:ascii="Segoe UI" w:hAnsi="Segoe UI" w:cs="Segoe UI"/>
          <w:color w:val="24292F"/>
        </w:rPr>
        <w:br/>
      </w:r>
      <w:hyperlink r:id="rId17" w:history="1">
        <w:r w:rsidR="00D834F4">
          <w:rPr>
            <w:rStyle w:val="Hyperlink"/>
            <w:rFonts w:ascii="Segoe UI" w:hAnsi="Segoe UI" w:cs="Segoe UI"/>
            <w:shd w:val="clear" w:color="auto" w:fill="FFFFFF"/>
          </w:rPr>
          <w:t>DS2: C</w:t>
        </w:r>
        <w:r w:rsidR="007D5ADE">
          <w:rPr>
            <w:rStyle w:val="Hyperlink"/>
            <w:rFonts w:ascii="Segoe UI" w:hAnsi="Segoe UI" w:cs="Segoe UI"/>
            <w:shd w:val="clear" w:color="auto" w:fill="FFFFFF"/>
          </w:rPr>
          <w:t>hicago Public Schools Dropout Rates</w:t>
        </w:r>
      </w:hyperlink>
      <w:r w:rsidR="007D5ADE">
        <w:rPr>
          <w:rFonts w:ascii="Segoe UI" w:hAnsi="Segoe UI" w:cs="Segoe UI"/>
          <w:color w:val="24292F"/>
        </w:rPr>
        <w:br/>
      </w:r>
      <w:hyperlink r:id="rId18" w:history="1">
        <w:r w:rsidR="00D834F4">
          <w:rPr>
            <w:rStyle w:val="Hyperlink"/>
            <w:rFonts w:ascii="Segoe UI" w:hAnsi="Segoe UI" w:cs="Segoe UI"/>
            <w:shd w:val="clear" w:color="auto" w:fill="FFFFFF"/>
          </w:rPr>
          <w:t>DS3: C</w:t>
        </w:r>
        <w:r w:rsidR="007D5ADE">
          <w:rPr>
            <w:rStyle w:val="Hyperlink"/>
            <w:rFonts w:ascii="Segoe UI" w:hAnsi="Segoe UI" w:cs="Segoe UI"/>
            <w:shd w:val="clear" w:color="auto" w:fill="FFFFFF"/>
          </w:rPr>
          <w:t>ity of Chicago Progress Reports</w:t>
        </w:r>
      </w:hyperlink>
      <w:r w:rsidR="007D5ADE">
        <w:rPr>
          <w:rFonts w:ascii="Segoe UI" w:hAnsi="Segoe UI" w:cs="Segoe UI"/>
          <w:color w:val="24292F"/>
        </w:rPr>
        <w:br/>
      </w:r>
      <w:hyperlink r:id="rId19" w:history="1">
        <w:r w:rsidR="00D834F4">
          <w:rPr>
            <w:rStyle w:val="Hyperlink"/>
            <w:rFonts w:ascii="Segoe UI" w:hAnsi="Segoe UI" w:cs="Segoe UI"/>
            <w:shd w:val="clear" w:color="auto" w:fill="FFFFFF"/>
          </w:rPr>
          <w:t>DS4: R</w:t>
        </w:r>
        <w:r w:rsidR="007D5ADE">
          <w:rPr>
            <w:rStyle w:val="Hyperlink"/>
            <w:rFonts w:ascii="Segoe UI" w:hAnsi="Segoe UI" w:cs="Segoe UI"/>
            <w:shd w:val="clear" w:color="auto" w:fill="FFFFFF"/>
          </w:rPr>
          <w:t>AW_us_confirmed_cases</w:t>
        </w:r>
      </w:hyperlink>
      <w:r w:rsidR="007D5ADE">
        <w:rPr>
          <w:rFonts w:ascii="Segoe UI" w:hAnsi="Segoe UI" w:cs="Segoe UI"/>
          <w:color w:val="24292F"/>
        </w:rPr>
        <w:br/>
      </w:r>
      <w:hyperlink r:id="rId20" w:history="1">
        <w:r w:rsidR="00D834F4">
          <w:rPr>
            <w:rStyle w:val="Hyperlink"/>
            <w:rFonts w:ascii="Segoe UI" w:hAnsi="Segoe UI" w:cs="Segoe UI"/>
            <w:shd w:val="clear" w:color="auto" w:fill="FFFFFF"/>
          </w:rPr>
          <w:t>DS5: S</w:t>
        </w:r>
        <w:r w:rsidR="007D5ADE">
          <w:rPr>
            <w:rStyle w:val="Hyperlink"/>
            <w:rFonts w:ascii="Segoe UI" w:hAnsi="Segoe UI" w:cs="Segoe UI"/>
            <w:shd w:val="clear" w:color="auto" w:fill="FFFFFF"/>
          </w:rPr>
          <w:t>tate and Territorial Mask Mandates</w:t>
        </w:r>
      </w:hyperlink>
      <w:r w:rsidR="007D5ADE">
        <w:rPr>
          <w:rFonts w:ascii="Segoe UI" w:hAnsi="Segoe UI" w:cs="Segoe UI"/>
          <w:color w:val="24292F"/>
        </w:rPr>
        <w:br/>
      </w:r>
      <w:hyperlink r:id="rId21" w:history="1">
        <w:r w:rsidR="00D834F4">
          <w:rPr>
            <w:rStyle w:val="Hyperlink"/>
            <w:rFonts w:ascii="Segoe UI" w:hAnsi="Segoe UI" w:cs="Segoe UI"/>
            <w:shd w:val="clear" w:color="auto" w:fill="FFFFFF"/>
          </w:rPr>
          <w:t>DS6: M</w:t>
        </w:r>
        <w:r w:rsidR="007D5ADE">
          <w:rPr>
            <w:rStyle w:val="Hyperlink"/>
            <w:rFonts w:ascii="Segoe UI" w:hAnsi="Segoe UI" w:cs="Segoe UI"/>
            <w:shd w:val="clear" w:color="auto" w:fill="FFFFFF"/>
          </w:rPr>
          <w:t>ask Use Survey</w:t>
        </w:r>
      </w:hyperlink>
    </w:p>
    <w:sectPr w:rsidR="00F046ED" w:rsidRPr="00F046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96223"/>
    <w:multiLevelType w:val="hybridMultilevel"/>
    <w:tmpl w:val="26D2B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4F6F2E"/>
    <w:multiLevelType w:val="hybridMultilevel"/>
    <w:tmpl w:val="B0683D34"/>
    <w:lvl w:ilvl="0" w:tplc="AC5E2188">
      <w:start w:val="1"/>
      <w:numFmt w:val="decimal"/>
      <w:lvlText w:val="Q%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B45149"/>
    <w:multiLevelType w:val="hybridMultilevel"/>
    <w:tmpl w:val="27A07184"/>
    <w:lvl w:ilvl="0" w:tplc="4FB8B996">
      <w:start w:val="1"/>
      <w:numFmt w:val="bullet"/>
      <w:lvlText w:val=""/>
      <w:lvlJc w:val="left"/>
      <w:pPr>
        <w:tabs>
          <w:tab w:val="num" w:pos="720"/>
        </w:tabs>
        <w:ind w:left="720" w:hanging="360"/>
      </w:pPr>
      <w:rPr>
        <w:rFonts w:ascii="Wingdings 2" w:hAnsi="Wingdings 2" w:hint="default"/>
      </w:rPr>
    </w:lvl>
    <w:lvl w:ilvl="1" w:tplc="3852F67A" w:tentative="1">
      <w:start w:val="1"/>
      <w:numFmt w:val="bullet"/>
      <w:lvlText w:val=""/>
      <w:lvlJc w:val="left"/>
      <w:pPr>
        <w:tabs>
          <w:tab w:val="num" w:pos="1440"/>
        </w:tabs>
        <w:ind w:left="1440" w:hanging="360"/>
      </w:pPr>
      <w:rPr>
        <w:rFonts w:ascii="Wingdings 2" w:hAnsi="Wingdings 2" w:hint="default"/>
      </w:rPr>
    </w:lvl>
    <w:lvl w:ilvl="2" w:tplc="618CAEE4" w:tentative="1">
      <w:start w:val="1"/>
      <w:numFmt w:val="bullet"/>
      <w:lvlText w:val=""/>
      <w:lvlJc w:val="left"/>
      <w:pPr>
        <w:tabs>
          <w:tab w:val="num" w:pos="2160"/>
        </w:tabs>
        <w:ind w:left="2160" w:hanging="360"/>
      </w:pPr>
      <w:rPr>
        <w:rFonts w:ascii="Wingdings 2" w:hAnsi="Wingdings 2" w:hint="default"/>
      </w:rPr>
    </w:lvl>
    <w:lvl w:ilvl="3" w:tplc="FC003C3E" w:tentative="1">
      <w:start w:val="1"/>
      <w:numFmt w:val="bullet"/>
      <w:lvlText w:val=""/>
      <w:lvlJc w:val="left"/>
      <w:pPr>
        <w:tabs>
          <w:tab w:val="num" w:pos="2880"/>
        </w:tabs>
        <w:ind w:left="2880" w:hanging="360"/>
      </w:pPr>
      <w:rPr>
        <w:rFonts w:ascii="Wingdings 2" w:hAnsi="Wingdings 2" w:hint="default"/>
      </w:rPr>
    </w:lvl>
    <w:lvl w:ilvl="4" w:tplc="62C8FAEA" w:tentative="1">
      <w:start w:val="1"/>
      <w:numFmt w:val="bullet"/>
      <w:lvlText w:val=""/>
      <w:lvlJc w:val="left"/>
      <w:pPr>
        <w:tabs>
          <w:tab w:val="num" w:pos="3600"/>
        </w:tabs>
        <w:ind w:left="3600" w:hanging="360"/>
      </w:pPr>
      <w:rPr>
        <w:rFonts w:ascii="Wingdings 2" w:hAnsi="Wingdings 2" w:hint="default"/>
      </w:rPr>
    </w:lvl>
    <w:lvl w:ilvl="5" w:tplc="A418D3B0" w:tentative="1">
      <w:start w:val="1"/>
      <w:numFmt w:val="bullet"/>
      <w:lvlText w:val=""/>
      <w:lvlJc w:val="left"/>
      <w:pPr>
        <w:tabs>
          <w:tab w:val="num" w:pos="4320"/>
        </w:tabs>
        <w:ind w:left="4320" w:hanging="360"/>
      </w:pPr>
      <w:rPr>
        <w:rFonts w:ascii="Wingdings 2" w:hAnsi="Wingdings 2" w:hint="default"/>
      </w:rPr>
    </w:lvl>
    <w:lvl w:ilvl="6" w:tplc="B91E2C88" w:tentative="1">
      <w:start w:val="1"/>
      <w:numFmt w:val="bullet"/>
      <w:lvlText w:val=""/>
      <w:lvlJc w:val="left"/>
      <w:pPr>
        <w:tabs>
          <w:tab w:val="num" w:pos="5040"/>
        </w:tabs>
        <w:ind w:left="5040" w:hanging="360"/>
      </w:pPr>
      <w:rPr>
        <w:rFonts w:ascii="Wingdings 2" w:hAnsi="Wingdings 2" w:hint="default"/>
      </w:rPr>
    </w:lvl>
    <w:lvl w:ilvl="7" w:tplc="DEF4E6AC" w:tentative="1">
      <w:start w:val="1"/>
      <w:numFmt w:val="bullet"/>
      <w:lvlText w:val=""/>
      <w:lvlJc w:val="left"/>
      <w:pPr>
        <w:tabs>
          <w:tab w:val="num" w:pos="5760"/>
        </w:tabs>
        <w:ind w:left="5760" w:hanging="360"/>
      </w:pPr>
      <w:rPr>
        <w:rFonts w:ascii="Wingdings 2" w:hAnsi="Wingdings 2" w:hint="default"/>
      </w:rPr>
    </w:lvl>
    <w:lvl w:ilvl="8" w:tplc="154C7E84"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2AD84F49"/>
    <w:multiLevelType w:val="hybridMultilevel"/>
    <w:tmpl w:val="30D0E5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B1E5B5E"/>
    <w:multiLevelType w:val="hybridMultilevel"/>
    <w:tmpl w:val="FBF44B9C"/>
    <w:lvl w:ilvl="0" w:tplc="6644B38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18418D"/>
    <w:multiLevelType w:val="hybridMultilevel"/>
    <w:tmpl w:val="30D0E5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2A8197C"/>
    <w:multiLevelType w:val="hybridMultilevel"/>
    <w:tmpl w:val="30D0E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574C44"/>
    <w:multiLevelType w:val="hybridMultilevel"/>
    <w:tmpl w:val="2D22E63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7D74E0"/>
    <w:multiLevelType w:val="hybridMultilevel"/>
    <w:tmpl w:val="EA2C272E"/>
    <w:lvl w:ilvl="0" w:tplc="6766471E">
      <w:start w:val="1"/>
      <w:numFmt w:val="bullet"/>
      <w:lvlText w:val=""/>
      <w:lvlJc w:val="left"/>
      <w:pPr>
        <w:tabs>
          <w:tab w:val="num" w:pos="720"/>
        </w:tabs>
        <w:ind w:left="720" w:hanging="360"/>
      </w:pPr>
      <w:rPr>
        <w:rFonts w:ascii="Wingdings 2" w:hAnsi="Wingdings 2" w:hint="default"/>
      </w:rPr>
    </w:lvl>
    <w:lvl w:ilvl="1" w:tplc="B70E4750">
      <w:numFmt w:val="bullet"/>
      <w:lvlText w:val=""/>
      <w:lvlJc w:val="left"/>
      <w:pPr>
        <w:tabs>
          <w:tab w:val="num" w:pos="1440"/>
        </w:tabs>
        <w:ind w:left="1440" w:hanging="360"/>
      </w:pPr>
      <w:rPr>
        <w:rFonts w:ascii="Wingdings 2" w:hAnsi="Wingdings 2" w:hint="default"/>
      </w:rPr>
    </w:lvl>
    <w:lvl w:ilvl="2" w:tplc="3490D2B4" w:tentative="1">
      <w:start w:val="1"/>
      <w:numFmt w:val="bullet"/>
      <w:lvlText w:val=""/>
      <w:lvlJc w:val="left"/>
      <w:pPr>
        <w:tabs>
          <w:tab w:val="num" w:pos="2160"/>
        </w:tabs>
        <w:ind w:left="2160" w:hanging="360"/>
      </w:pPr>
      <w:rPr>
        <w:rFonts w:ascii="Wingdings 2" w:hAnsi="Wingdings 2" w:hint="default"/>
      </w:rPr>
    </w:lvl>
    <w:lvl w:ilvl="3" w:tplc="E80A5DD6" w:tentative="1">
      <w:start w:val="1"/>
      <w:numFmt w:val="bullet"/>
      <w:lvlText w:val=""/>
      <w:lvlJc w:val="left"/>
      <w:pPr>
        <w:tabs>
          <w:tab w:val="num" w:pos="2880"/>
        </w:tabs>
        <w:ind w:left="2880" w:hanging="360"/>
      </w:pPr>
      <w:rPr>
        <w:rFonts w:ascii="Wingdings 2" w:hAnsi="Wingdings 2" w:hint="default"/>
      </w:rPr>
    </w:lvl>
    <w:lvl w:ilvl="4" w:tplc="668CA5EA" w:tentative="1">
      <w:start w:val="1"/>
      <w:numFmt w:val="bullet"/>
      <w:lvlText w:val=""/>
      <w:lvlJc w:val="left"/>
      <w:pPr>
        <w:tabs>
          <w:tab w:val="num" w:pos="3600"/>
        </w:tabs>
        <w:ind w:left="3600" w:hanging="360"/>
      </w:pPr>
      <w:rPr>
        <w:rFonts w:ascii="Wingdings 2" w:hAnsi="Wingdings 2" w:hint="default"/>
      </w:rPr>
    </w:lvl>
    <w:lvl w:ilvl="5" w:tplc="8EA84F68" w:tentative="1">
      <w:start w:val="1"/>
      <w:numFmt w:val="bullet"/>
      <w:lvlText w:val=""/>
      <w:lvlJc w:val="left"/>
      <w:pPr>
        <w:tabs>
          <w:tab w:val="num" w:pos="4320"/>
        </w:tabs>
        <w:ind w:left="4320" w:hanging="360"/>
      </w:pPr>
      <w:rPr>
        <w:rFonts w:ascii="Wingdings 2" w:hAnsi="Wingdings 2" w:hint="default"/>
      </w:rPr>
    </w:lvl>
    <w:lvl w:ilvl="6" w:tplc="BFC6AD7E" w:tentative="1">
      <w:start w:val="1"/>
      <w:numFmt w:val="bullet"/>
      <w:lvlText w:val=""/>
      <w:lvlJc w:val="left"/>
      <w:pPr>
        <w:tabs>
          <w:tab w:val="num" w:pos="5040"/>
        </w:tabs>
        <w:ind w:left="5040" w:hanging="360"/>
      </w:pPr>
      <w:rPr>
        <w:rFonts w:ascii="Wingdings 2" w:hAnsi="Wingdings 2" w:hint="default"/>
      </w:rPr>
    </w:lvl>
    <w:lvl w:ilvl="7" w:tplc="6F22D092" w:tentative="1">
      <w:start w:val="1"/>
      <w:numFmt w:val="bullet"/>
      <w:lvlText w:val=""/>
      <w:lvlJc w:val="left"/>
      <w:pPr>
        <w:tabs>
          <w:tab w:val="num" w:pos="5760"/>
        </w:tabs>
        <w:ind w:left="5760" w:hanging="360"/>
      </w:pPr>
      <w:rPr>
        <w:rFonts w:ascii="Wingdings 2" w:hAnsi="Wingdings 2" w:hint="default"/>
      </w:rPr>
    </w:lvl>
    <w:lvl w:ilvl="8" w:tplc="F348AAC6"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60FD09C5"/>
    <w:multiLevelType w:val="hybridMultilevel"/>
    <w:tmpl w:val="30D0E5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4D55513"/>
    <w:multiLevelType w:val="hybridMultilevel"/>
    <w:tmpl w:val="30D0E5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1"/>
  </w:num>
  <w:num w:numId="3">
    <w:abstractNumId w:val="6"/>
  </w:num>
  <w:num w:numId="4">
    <w:abstractNumId w:val="4"/>
  </w:num>
  <w:num w:numId="5">
    <w:abstractNumId w:val="9"/>
  </w:num>
  <w:num w:numId="6">
    <w:abstractNumId w:val="10"/>
  </w:num>
  <w:num w:numId="7">
    <w:abstractNumId w:val="5"/>
  </w:num>
  <w:num w:numId="8">
    <w:abstractNumId w:val="3"/>
  </w:num>
  <w:num w:numId="9">
    <w:abstractNumId w:val="8"/>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6ED"/>
    <w:rsid w:val="000114C8"/>
    <w:rsid w:val="00013EA6"/>
    <w:rsid w:val="00014847"/>
    <w:rsid w:val="00015F44"/>
    <w:rsid w:val="00020698"/>
    <w:rsid w:val="00022B99"/>
    <w:rsid w:val="0003344B"/>
    <w:rsid w:val="00047FCD"/>
    <w:rsid w:val="00050207"/>
    <w:rsid w:val="00050F88"/>
    <w:rsid w:val="00061264"/>
    <w:rsid w:val="00072428"/>
    <w:rsid w:val="00086279"/>
    <w:rsid w:val="00091418"/>
    <w:rsid w:val="00097A45"/>
    <w:rsid w:val="000B4CBF"/>
    <w:rsid w:val="000C7E4B"/>
    <w:rsid w:val="00103948"/>
    <w:rsid w:val="00120900"/>
    <w:rsid w:val="00123E3F"/>
    <w:rsid w:val="0012455C"/>
    <w:rsid w:val="00135407"/>
    <w:rsid w:val="00150339"/>
    <w:rsid w:val="00152CDE"/>
    <w:rsid w:val="00157A3E"/>
    <w:rsid w:val="00171139"/>
    <w:rsid w:val="001965AD"/>
    <w:rsid w:val="0024399D"/>
    <w:rsid w:val="00252F9C"/>
    <w:rsid w:val="00274DDD"/>
    <w:rsid w:val="0028562B"/>
    <w:rsid w:val="002A4F2A"/>
    <w:rsid w:val="002C68AC"/>
    <w:rsid w:val="002E0F4E"/>
    <w:rsid w:val="002E6CB0"/>
    <w:rsid w:val="003135ED"/>
    <w:rsid w:val="0031774B"/>
    <w:rsid w:val="00325497"/>
    <w:rsid w:val="003351CF"/>
    <w:rsid w:val="00341012"/>
    <w:rsid w:val="003530EF"/>
    <w:rsid w:val="00371E11"/>
    <w:rsid w:val="003A3610"/>
    <w:rsid w:val="003A5168"/>
    <w:rsid w:val="003C263E"/>
    <w:rsid w:val="003E0D05"/>
    <w:rsid w:val="003E5D20"/>
    <w:rsid w:val="003F0E2D"/>
    <w:rsid w:val="00400928"/>
    <w:rsid w:val="004020DD"/>
    <w:rsid w:val="00406CF6"/>
    <w:rsid w:val="00444531"/>
    <w:rsid w:val="004671F8"/>
    <w:rsid w:val="004C22F1"/>
    <w:rsid w:val="004C248E"/>
    <w:rsid w:val="004C3176"/>
    <w:rsid w:val="004E4945"/>
    <w:rsid w:val="004F0273"/>
    <w:rsid w:val="004F2EF3"/>
    <w:rsid w:val="004F6C20"/>
    <w:rsid w:val="00500663"/>
    <w:rsid w:val="00500DB3"/>
    <w:rsid w:val="00511647"/>
    <w:rsid w:val="00514AF4"/>
    <w:rsid w:val="005B4FB2"/>
    <w:rsid w:val="005C031B"/>
    <w:rsid w:val="005D4C68"/>
    <w:rsid w:val="005E7B25"/>
    <w:rsid w:val="00600AF7"/>
    <w:rsid w:val="006433AC"/>
    <w:rsid w:val="00644836"/>
    <w:rsid w:val="0066682D"/>
    <w:rsid w:val="00667192"/>
    <w:rsid w:val="0067489B"/>
    <w:rsid w:val="0068120A"/>
    <w:rsid w:val="00692576"/>
    <w:rsid w:val="00693ACE"/>
    <w:rsid w:val="006B03B1"/>
    <w:rsid w:val="006B3D20"/>
    <w:rsid w:val="00701F33"/>
    <w:rsid w:val="00713006"/>
    <w:rsid w:val="007376F4"/>
    <w:rsid w:val="00742A11"/>
    <w:rsid w:val="00750FA5"/>
    <w:rsid w:val="007614AF"/>
    <w:rsid w:val="00763C5D"/>
    <w:rsid w:val="007718E7"/>
    <w:rsid w:val="00772819"/>
    <w:rsid w:val="00773E24"/>
    <w:rsid w:val="007921A7"/>
    <w:rsid w:val="007D142A"/>
    <w:rsid w:val="007D5ADE"/>
    <w:rsid w:val="007D5DBF"/>
    <w:rsid w:val="007E7A99"/>
    <w:rsid w:val="00800660"/>
    <w:rsid w:val="0081301A"/>
    <w:rsid w:val="00815777"/>
    <w:rsid w:val="00820027"/>
    <w:rsid w:val="008261FA"/>
    <w:rsid w:val="00827C39"/>
    <w:rsid w:val="00831BE2"/>
    <w:rsid w:val="00854A86"/>
    <w:rsid w:val="00856D35"/>
    <w:rsid w:val="008700D5"/>
    <w:rsid w:val="008703A2"/>
    <w:rsid w:val="0088217C"/>
    <w:rsid w:val="0089460D"/>
    <w:rsid w:val="008B7A99"/>
    <w:rsid w:val="008C712B"/>
    <w:rsid w:val="008D1C11"/>
    <w:rsid w:val="008E0743"/>
    <w:rsid w:val="008E54EB"/>
    <w:rsid w:val="008F2628"/>
    <w:rsid w:val="00910DA6"/>
    <w:rsid w:val="00920A01"/>
    <w:rsid w:val="009921F7"/>
    <w:rsid w:val="009A7863"/>
    <w:rsid w:val="009C7BE1"/>
    <w:rsid w:val="009E062F"/>
    <w:rsid w:val="009E62D2"/>
    <w:rsid w:val="009E709A"/>
    <w:rsid w:val="009F5301"/>
    <w:rsid w:val="00A00C50"/>
    <w:rsid w:val="00A05501"/>
    <w:rsid w:val="00A44BAE"/>
    <w:rsid w:val="00A50B89"/>
    <w:rsid w:val="00A740AB"/>
    <w:rsid w:val="00A83E55"/>
    <w:rsid w:val="00A8707E"/>
    <w:rsid w:val="00A97B22"/>
    <w:rsid w:val="00AA1B81"/>
    <w:rsid w:val="00AA2105"/>
    <w:rsid w:val="00AA60D1"/>
    <w:rsid w:val="00AA6E4A"/>
    <w:rsid w:val="00AB1764"/>
    <w:rsid w:val="00AB5CC4"/>
    <w:rsid w:val="00AB6A80"/>
    <w:rsid w:val="00AC2170"/>
    <w:rsid w:val="00AC2A59"/>
    <w:rsid w:val="00AD6FD7"/>
    <w:rsid w:val="00B1784A"/>
    <w:rsid w:val="00B60182"/>
    <w:rsid w:val="00B74538"/>
    <w:rsid w:val="00B91997"/>
    <w:rsid w:val="00B970F5"/>
    <w:rsid w:val="00BB7EF7"/>
    <w:rsid w:val="00BD594B"/>
    <w:rsid w:val="00BD74B2"/>
    <w:rsid w:val="00BF0729"/>
    <w:rsid w:val="00C07F3C"/>
    <w:rsid w:val="00C30B29"/>
    <w:rsid w:val="00C3199F"/>
    <w:rsid w:val="00C515B3"/>
    <w:rsid w:val="00C715AA"/>
    <w:rsid w:val="00C87CC5"/>
    <w:rsid w:val="00CA0B81"/>
    <w:rsid w:val="00CC5C62"/>
    <w:rsid w:val="00CF1004"/>
    <w:rsid w:val="00CF15EF"/>
    <w:rsid w:val="00CF213D"/>
    <w:rsid w:val="00D51A69"/>
    <w:rsid w:val="00D6214A"/>
    <w:rsid w:val="00D834F4"/>
    <w:rsid w:val="00DD1C2D"/>
    <w:rsid w:val="00DF2732"/>
    <w:rsid w:val="00E02A76"/>
    <w:rsid w:val="00E03E5B"/>
    <w:rsid w:val="00E04121"/>
    <w:rsid w:val="00E43A07"/>
    <w:rsid w:val="00E45871"/>
    <w:rsid w:val="00E50164"/>
    <w:rsid w:val="00E60F3E"/>
    <w:rsid w:val="00E63D2A"/>
    <w:rsid w:val="00E66D5F"/>
    <w:rsid w:val="00E66D7E"/>
    <w:rsid w:val="00E87E1D"/>
    <w:rsid w:val="00E94F2B"/>
    <w:rsid w:val="00E95886"/>
    <w:rsid w:val="00EB4DAE"/>
    <w:rsid w:val="00EB740D"/>
    <w:rsid w:val="00ED7FDE"/>
    <w:rsid w:val="00EE3C71"/>
    <w:rsid w:val="00EE76B1"/>
    <w:rsid w:val="00EF268D"/>
    <w:rsid w:val="00F011FB"/>
    <w:rsid w:val="00F040E5"/>
    <w:rsid w:val="00F046ED"/>
    <w:rsid w:val="00F06D37"/>
    <w:rsid w:val="00F75122"/>
    <w:rsid w:val="00F7601A"/>
    <w:rsid w:val="00FA70E3"/>
    <w:rsid w:val="00FC4E89"/>
    <w:rsid w:val="00FF6977"/>
    <w:rsid w:val="00FF7A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D5D7D"/>
  <w15:chartTrackingRefBased/>
  <w15:docId w15:val="{6905CE65-5A5C-487B-87BD-64C239730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836"/>
  </w:style>
  <w:style w:type="paragraph" w:styleId="Heading1">
    <w:name w:val="heading 1"/>
    <w:basedOn w:val="Normal"/>
    <w:next w:val="Normal"/>
    <w:link w:val="Heading1Char"/>
    <w:uiPriority w:val="9"/>
    <w:qFormat/>
    <w:rsid w:val="00F046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3E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046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46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46E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46E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F046ED"/>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F046ED"/>
    <w:pPr>
      <w:spacing w:after="0" w:line="240" w:lineRule="auto"/>
    </w:pPr>
  </w:style>
  <w:style w:type="character" w:styleId="Hyperlink">
    <w:name w:val="Hyperlink"/>
    <w:basedOn w:val="DefaultParagraphFont"/>
    <w:uiPriority w:val="99"/>
    <w:semiHidden/>
    <w:unhideWhenUsed/>
    <w:rsid w:val="007D5ADE"/>
    <w:rPr>
      <w:color w:val="0000FF"/>
      <w:u w:val="single"/>
    </w:rPr>
  </w:style>
  <w:style w:type="character" w:customStyle="1" w:styleId="Heading2Char">
    <w:name w:val="Heading 2 Char"/>
    <w:basedOn w:val="DefaultParagraphFont"/>
    <w:link w:val="Heading2"/>
    <w:uiPriority w:val="9"/>
    <w:rsid w:val="00A83E5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60F3E"/>
    <w:rPr>
      <w:color w:val="954F72" w:themeColor="followedHyperlink"/>
      <w:u w:val="single"/>
    </w:rPr>
  </w:style>
  <w:style w:type="paragraph" w:styleId="Bibliography">
    <w:name w:val="Bibliography"/>
    <w:basedOn w:val="Normal"/>
    <w:next w:val="Normal"/>
    <w:uiPriority w:val="37"/>
    <w:unhideWhenUsed/>
    <w:rsid w:val="00514AF4"/>
  </w:style>
  <w:style w:type="paragraph" w:styleId="ListParagraph">
    <w:name w:val="List Paragraph"/>
    <w:basedOn w:val="Normal"/>
    <w:uiPriority w:val="34"/>
    <w:qFormat/>
    <w:rsid w:val="0003344B"/>
    <w:pPr>
      <w:ind w:left="720"/>
      <w:contextualSpacing/>
    </w:pPr>
  </w:style>
  <w:style w:type="table" w:styleId="TableGrid">
    <w:name w:val="Table Grid"/>
    <w:basedOn w:val="TableNormal"/>
    <w:uiPriority w:val="39"/>
    <w:rsid w:val="009E7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F15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04517">
      <w:bodyDiv w:val="1"/>
      <w:marLeft w:val="0"/>
      <w:marRight w:val="0"/>
      <w:marTop w:val="0"/>
      <w:marBottom w:val="0"/>
      <w:divBdr>
        <w:top w:val="none" w:sz="0" w:space="0" w:color="auto"/>
        <w:left w:val="none" w:sz="0" w:space="0" w:color="auto"/>
        <w:bottom w:val="none" w:sz="0" w:space="0" w:color="auto"/>
        <w:right w:val="none" w:sz="0" w:space="0" w:color="auto"/>
      </w:divBdr>
    </w:div>
    <w:div w:id="191186053">
      <w:bodyDiv w:val="1"/>
      <w:marLeft w:val="0"/>
      <w:marRight w:val="0"/>
      <w:marTop w:val="0"/>
      <w:marBottom w:val="0"/>
      <w:divBdr>
        <w:top w:val="none" w:sz="0" w:space="0" w:color="auto"/>
        <w:left w:val="none" w:sz="0" w:space="0" w:color="auto"/>
        <w:bottom w:val="none" w:sz="0" w:space="0" w:color="auto"/>
        <w:right w:val="none" w:sz="0" w:space="0" w:color="auto"/>
      </w:divBdr>
    </w:div>
    <w:div w:id="260189420">
      <w:bodyDiv w:val="1"/>
      <w:marLeft w:val="0"/>
      <w:marRight w:val="0"/>
      <w:marTop w:val="0"/>
      <w:marBottom w:val="0"/>
      <w:divBdr>
        <w:top w:val="none" w:sz="0" w:space="0" w:color="auto"/>
        <w:left w:val="none" w:sz="0" w:space="0" w:color="auto"/>
        <w:bottom w:val="none" w:sz="0" w:space="0" w:color="auto"/>
        <w:right w:val="none" w:sz="0" w:space="0" w:color="auto"/>
      </w:divBdr>
    </w:div>
    <w:div w:id="344984513">
      <w:bodyDiv w:val="1"/>
      <w:marLeft w:val="0"/>
      <w:marRight w:val="0"/>
      <w:marTop w:val="0"/>
      <w:marBottom w:val="0"/>
      <w:divBdr>
        <w:top w:val="none" w:sz="0" w:space="0" w:color="auto"/>
        <w:left w:val="none" w:sz="0" w:space="0" w:color="auto"/>
        <w:bottom w:val="none" w:sz="0" w:space="0" w:color="auto"/>
        <w:right w:val="none" w:sz="0" w:space="0" w:color="auto"/>
      </w:divBdr>
    </w:div>
    <w:div w:id="354625052">
      <w:bodyDiv w:val="1"/>
      <w:marLeft w:val="0"/>
      <w:marRight w:val="0"/>
      <w:marTop w:val="0"/>
      <w:marBottom w:val="0"/>
      <w:divBdr>
        <w:top w:val="none" w:sz="0" w:space="0" w:color="auto"/>
        <w:left w:val="none" w:sz="0" w:space="0" w:color="auto"/>
        <w:bottom w:val="none" w:sz="0" w:space="0" w:color="auto"/>
        <w:right w:val="none" w:sz="0" w:space="0" w:color="auto"/>
      </w:divBdr>
    </w:div>
    <w:div w:id="361057015">
      <w:bodyDiv w:val="1"/>
      <w:marLeft w:val="0"/>
      <w:marRight w:val="0"/>
      <w:marTop w:val="0"/>
      <w:marBottom w:val="0"/>
      <w:divBdr>
        <w:top w:val="none" w:sz="0" w:space="0" w:color="auto"/>
        <w:left w:val="none" w:sz="0" w:space="0" w:color="auto"/>
        <w:bottom w:val="none" w:sz="0" w:space="0" w:color="auto"/>
        <w:right w:val="none" w:sz="0" w:space="0" w:color="auto"/>
      </w:divBdr>
    </w:div>
    <w:div w:id="407650688">
      <w:bodyDiv w:val="1"/>
      <w:marLeft w:val="0"/>
      <w:marRight w:val="0"/>
      <w:marTop w:val="0"/>
      <w:marBottom w:val="0"/>
      <w:divBdr>
        <w:top w:val="none" w:sz="0" w:space="0" w:color="auto"/>
        <w:left w:val="none" w:sz="0" w:space="0" w:color="auto"/>
        <w:bottom w:val="none" w:sz="0" w:space="0" w:color="auto"/>
        <w:right w:val="none" w:sz="0" w:space="0" w:color="auto"/>
      </w:divBdr>
    </w:div>
    <w:div w:id="471019428">
      <w:bodyDiv w:val="1"/>
      <w:marLeft w:val="0"/>
      <w:marRight w:val="0"/>
      <w:marTop w:val="0"/>
      <w:marBottom w:val="0"/>
      <w:divBdr>
        <w:top w:val="none" w:sz="0" w:space="0" w:color="auto"/>
        <w:left w:val="none" w:sz="0" w:space="0" w:color="auto"/>
        <w:bottom w:val="none" w:sz="0" w:space="0" w:color="auto"/>
        <w:right w:val="none" w:sz="0" w:space="0" w:color="auto"/>
      </w:divBdr>
    </w:div>
    <w:div w:id="591012149">
      <w:bodyDiv w:val="1"/>
      <w:marLeft w:val="0"/>
      <w:marRight w:val="0"/>
      <w:marTop w:val="0"/>
      <w:marBottom w:val="0"/>
      <w:divBdr>
        <w:top w:val="none" w:sz="0" w:space="0" w:color="auto"/>
        <w:left w:val="none" w:sz="0" w:space="0" w:color="auto"/>
        <w:bottom w:val="none" w:sz="0" w:space="0" w:color="auto"/>
        <w:right w:val="none" w:sz="0" w:space="0" w:color="auto"/>
      </w:divBdr>
    </w:div>
    <w:div w:id="592202187">
      <w:bodyDiv w:val="1"/>
      <w:marLeft w:val="0"/>
      <w:marRight w:val="0"/>
      <w:marTop w:val="0"/>
      <w:marBottom w:val="0"/>
      <w:divBdr>
        <w:top w:val="none" w:sz="0" w:space="0" w:color="auto"/>
        <w:left w:val="none" w:sz="0" w:space="0" w:color="auto"/>
        <w:bottom w:val="none" w:sz="0" w:space="0" w:color="auto"/>
        <w:right w:val="none" w:sz="0" w:space="0" w:color="auto"/>
      </w:divBdr>
    </w:div>
    <w:div w:id="753475494">
      <w:bodyDiv w:val="1"/>
      <w:marLeft w:val="0"/>
      <w:marRight w:val="0"/>
      <w:marTop w:val="0"/>
      <w:marBottom w:val="0"/>
      <w:divBdr>
        <w:top w:val="none" w:sz="0" w:space="0" w:color="auto"/>
        <w:left w:val="none" w:sz="0" w:space="0" w:color="auto"/>
        <w:bottom w:val="none" w:sz="0" w:space="0" w:color="auto"/>
        <w:right w:val="none" w:sz="0" w:space="0" w:color="auto"/>
      </w:divBdr>
    </w:div>
    <w:div w:id="806166841">
      <w:bodyDiv w:val="1"/>
      <w:marLeft w:val="0"/>
      <w:marRight w:val="0"/>
      <w:marTop w:val="0"/>
      <w:marBottom w:val="0"/>
      <w:divBdr>
        <w:top w:val="none" w:sz="0" w:space="0" w:color="auto"/>
        <w:left w:val="none" w:sz="0" w:space="0" w:color="auto"/>
        <w:bottom w:val="none" w:sz="0" w:space="0" w:color="auto"/>
        <w:right w:val="none" w:sz="0" w:space="0" w:color="auto"/>
      </w:divBdr>
    </w:div>
    <w:div w:id="815024717">
      <w:bodyDiv w:val="1"/>
      <w:marLeft w:val="0"/>
      <w:marRight w:val="0"/>
      <w:marTop w:val="0"/>
      <w:marBottom w:val="0"/>
      <w:divBdr>
        <w:top w:val="none" w:sz="0" w:space="0" w:color="auto"/>
        <w:left w:val="none" w:sz="0" w:space="0" w:color="auto"/>
        <w:bottom w:val="none" w:sz="0" w:space="0" w:color="auto"/>
        <w:right w:val="none" w:sz="0" w:space="0" w:color="auto"/>
      </w:divBdr>
    </w:div>
    <w:div w:id="866917376">
      <w:bodyDiv w:val="1"/>
      <w:marLeft w:val="0"/>
      <w:marRight w:val="0"/>
      <w:marTop w:val="0"/>
      <w:marBottom w:val="0"/>
      <w:divBdr>
        <w:top w:val="none" w:sz="0" w:space="0" w:color="auto"/>
        <w:left w:val="none" w:sz="0" w:space="0" w:color="auto"/>
        <w:bottom w:val="none" w:sz="0" w:space="0" w:color="auto"/>
        <w:right w:val="none" w:sz="0" w:space="0" w:color="auto"/>
      </w:divBdr>
    </w:div>
    <w:div w:id="890311652">
      <w:bodyDiv w:val="1"/>
      <w:marLeft w:val="0"/>
      <w:marRight w:val="0"/>
      <w:marTop w:val="0"/>
      <w:marBottom w:val="0"/>
      <w:divBdr>
        <w:top w:val="none" w:sz="0" w:space="0" w:color="auto"/>
        <w:left w:val="none" w:sz="0" w:space="0" w:color="auto"/>
        <w:bottom w:val="none" w:sz="0" w:space="0" w:color="auto"/>
        <w:right w:val="none" w:sz="0" w:space="0" w:color="auto"/>
      </w:divBdr>
    </w:div>
    <w:div w:id="915433699">
      <w:bodyDiv w:val="1"/>
      <w:marLeft w:val="0"/>
      <w:marRight w:val="0"/>
      <w:marTop w:val="0"/>
      <w:marBottom w:val="0"/>
      <w:divBdr>
        <w:top w:val="none" w:sz="0" w:space="0" w:color="auto"/>
        <w:left w:val="none" w:sz="0" w:space="0" w:color="auto"/>
        <w:bottom w:val="none" w:sz="0" w:space="0" w:color="auto"/>
        <w:right w:val="none" w:sz="0" w:space="0" w:color="auto"/>
      </w:divBdr>
    </w:div>
    <w:div w:id="957181817">
      <w:bodyDiv w:val="1"/>
      <w:marLeft w:val="0"/>
      <w:marRight w:val="0"/>
      <w:marTop w:val="0"/>
      <w:marBottom w:val="0"/>
      <w:divBdr>
        <w:top w:val="none" w:sz="0" w:space="0" w:color="auto"/>
        <w:left w:val="none" w:sz="0" w:space="0" w:color="auto"/>
        <w:bottom w:val="none" w:sz="0" w:space="0" w:color="auto"/>
        <w:right w:val="none" w:sz="0" w:space="0" w:color="auto"/>
      </w:divBdr>
      <w:divsChild>
        <w:div w:id="400174101">
          <w:marLeft w:val="994"/>
          <w:marRight w:val="0"/>
          <w:marTop w:val="67"/>
          <w:marBottom w:val="120"/>
          <w:divBdr>
            <w:top w:val="none" w:sz="0" w:space="0" w:color="auto"/>
            <w:left w:val="none" w:sz="0" w:space="0" w:color="auto"/>
            <w:bottom w:val="none" w:sz="0" w:space="0" w:color="auto"/>
            <w:right w:val="none" w:sz="0" w:space="0" w:color="auto"/>
          </w:divBdr>
        </w:div>
        <w:div w:id="1541627716">
          <w:marLeft w:val="994"/>
          <w:marRight w:val="0"/>
          <w:marTop w:val="67"/>
          <w:marBottom w:val="120"/>
          <w:divBdr>
            <w:top w:val="none" w:sz="0" w:space="0" w:color="auto"/>
            <w:left w:val="none" w:sz="0" w:space="0" w:color="auto"/>
            <w:bottom w:val="none" w:sz="0" w:space="0" w:color="auto"/>
            <w:right w:val="none" w:sz="0" w:space="0" w:color="auto"/>
          </w:divBdr>
        </w:div>
        <w:div w:id="1899245936">
          <w:marLeft w:val="994"/>
          <w:marRight w:val="0"/>
          <w:marTop w:val="67"/>
          <w:marBottom w:val="120"/>
          <w:divBdr>
            <w:top w:val="none" w:sz="0" w:space="0" w:color="auto"/>
            <w:left w:val="none" w:sz="0" w:space="0" w:color="auto"/>
            <w:bottom w:val="none" w:sz="0" w:space="0" w:color="auto"/>
            <w:right w:val="none" w:sz="0" w:space="0" w:color="auto"/>
          </w:divBdr>
        </w:div>
      </w:divsChild>
    </w:div>
    <w:div w:id="1015185169">
      <w:bodyDiv w:val="1"/>
      <w:marLeft w:val="0"/>
      <w:marRight w:val="0"/>
      <w:marTop w:val="0"/>
      <w:marBottom w:val="0"/>
      <w:divBdr>
        <w:top w:val="none" w:sz="0" w:space="0" w:color="auto"/>
        <w:left w:val="none" w:sz="0" w:space="0" w:color="auto"/>
        <w:bottom w:val="none" w:sz="0" w:space="0" w:color="auto"/>
        <w:right w:val="none" w:sz="0" w:space="0" w:color="auto"/>
      </w:divBdr>
    </w:div>
    <w:div w:id="1052726771">
      <w:bodyDiv w:val="1"/>
      <w:marLeft w:val="0"/>
      <w:marRight w:val="0"/>
      <w:marTop w:val="0"/>
      <w:marBottom w:val="0"/>
      <w:divBdr>
        <w:top w:val="none" w:sz="0" w:space="0" w:color="auto"/>
        <w:left w:val="none" w:sz="0" w:space="0" w:color="auto"/>
        <w:bottom w:val="none" w:sz="0" w:space="0" w:color="auto"/>
        <w:right w:val="none" w:sz="0" w:space="0" w:color="auto"/>
      </w:divBdr>
    </w:div>
    <w:div w:id="1058044170">
      <w:bodyDiv w:val="1"/>
      <w:marLeft w:val="0"/>
      <w:marRight w:val="0"/>
      <w:marTop w:val="0"/>
      <w:marBottom w:val="0"/>
      <w:divBdr>
        <w:top w:val="none" w:sz="0" w:space="0" w:color="auto"/>
        <w:left w:val="none" w:sz="0" w:space="0" w:color="auto"/>
        <w:bottom w:val="none" w:sz="0" w:space="0" w:color="auto"/>
        <w:right w:val="none" w:sz="0" w:space="0" w:color="auto"/>
      </w:divBdr>
    </w:div>
    <w:div w:id="1104884888">
      <w:bodyDiv w:val="1"/>
      <w:marLeft w:val="0"/>
      <w:marRight w:val="0"/>
      <w:marTop w:val="0"/>
      <w:marBottom w:val="0"/>
      <w:divBdr>
        <w:top w:val="none" w:sz="0" w:space="0" w:color="auto"/>
        <w:left w:val="none" w:sz="0" w:space="0" w:color="auto"/>
        <w:bottom w:val="none" w:sz="0" w:space="0" w:color="auto"/>
        <w:right w:val="none" w:sz="0" w:space="0" w:color="auto"/>
      </w:divBdr>
    </w:div>
    <w:div w:id="1115096809">
      <w:bodyDiv w:val="1"/>
      <w:marLeft w:val="0"/>
      <w:marRight w:val="0"/>
      <w:marTop w:val="0"/>
      <w:marBottom w:val="0"/>
      <w:divBdr>
        <w:top w:val="none" w:sz="0" w:space="0" w:color="auto"/>
        <w:left w:val="none" w:sz="0" w:space="0" w:color="auto"/>
        <w:bottom w:val="none" w:sz="0" w:space="0" w:color="auto"/>
        <w:right w:val="none" w:sz="0" w:space="0" w:color="auto"/>
      </w:divBdr>
      <w:divsChild>
        <w:div w:id="1828280274">
          <w:marLeft w:val="475"/>
          <w:marRight w:val="0"/>
          <w:marTop w:val="82"/>
          <w:marBottom w:val="120"/>
          <w:divBdr>
            <w:top w:val="none" w:sz="0" w:space="0" w:color="auto"/>
            <w:left w:val="none" w:sz="0" w:space="0" w:color="auto"/>
            <w:bottom w:val="none" w:sz="0" w:space="0" w:color="auto"/>
            <w:right w:val="none" w:sz="0" w:space="0" w:color="auto"/>
          </w:divBdr>
        </w:div>
        <w:div w:id="1576015798">
          <w:marLeft w:val="475"/>
          <w:marRight w:val="0"/>
          <w:marTop w:val="82"/>
          <w:marBottom w:val="120"/>
          <w:divBdr>
            <w:top w:val="none" w:sz="0" w:space="0" w:color="auto"/>
            <w:left w:val="none" w:sz="0" w:space="0" w:color="auto"/>
            <w:bottom w:val="none" w:sz="0" w:space="0" w:color="auto"/>
            <w:right w:val="none" w:sz="0" w:space="0" w:color="auto"/>
          </w:divBdr>
        </w:div>
        <w:div w:id="330446133">
          <w:marLeft w:val="475"/>
          <w:marRight w:val="0"/>
          <w:marTop w:val="82"/>
          <w:marBottom w:val="120"/>
          <w:divBdr>
            <w:top w:val="none" w:sz="0" w:space="0" w:color="auto"/>
            <w:left w:val="none" w:sz="0" w:space="0" w:color="auto"/>
            <w:bottom w:val="none" w:sz="0" w:space="0" w:color="auto"/>
            <w:right w:val="none" w:sz="0" w:space="0" w:color="auto"/>
          </w:divBdr>
        </w:div>
      </w:divsChild>
    </w:div>
    <w:div w:id="1133911454">
      <w:bodyDiv w:val="1"/>
      <w:marLeft w:val="0"/>
      <w:marRight w:val="0"/>
      <w:marTop w:val="0"/>
      <w:marBottom w:val="0"/>
      <w:divBdr>
        <w:top w:val="none" w:sz="0" w:space="0" w:color="auto"/>
        <w:left w:val="none" w:sz="0" w:space="0" w:color="auto"/>
        <w:bottom w:val="none" w:sz="0" w:space="0" w:color="auto"/>
        <w:right w:val="none" w:sz="0" w:space="0" w:color="auto"/>
      </w:divBdr>
    </w:div>
    <w:div w:id="1171094017">
      <w:bodyDiv w:val="1"/>
      <w:marLeft w:val="0"/>
      <w:marRight w:val="0"/>
      <w:marTop w:val="0"/>
      <w:marBottom w:val="0"/>
      <w:divBdr>
        <w:top w:val="none" w:sz="0" w:space="0" w:color="auto"/>
        <w:left w:val="none" w:sz="0" w:space="0" w:color="auto"/>
        <w:bottom w:val="none" w:sz="0" w:space="0" w:color="auto"/>
        <w:right w:val="none" w:sz="0" w:space="0" w:color="auto"/>
      </w:divBdr>
    </w:div>
    <w:div w:id="1181972856">
      <w:bodyDiv w:val="1"/>
      <w:marLeft w:val="0"/>
      <w:marRight w:val="0"/>
      <w:marTop w:val="0"/>
      <w:marBottom w:val="0"/>
      <w:divBdr>
        <w:top w:val="none" w:sz="0" w:space="0" w:color="auto"/>
        <w:left w:val="none" w:sz="0" w:space="0" w:color="auto"/>
        <w:bottom w:val="none" w:sz="0" w:space="0" w:color="auto"/>
        <w:right w:val="none" w:sz="0" w:space="0" w:color="auto"/>
      </w:divBdr>
    </w:div>
    <w:div w:id="1272206383">
      <w:bodyDiv w:val="1"/>
      <w:marLeft w:val="0"/>
      <w:marRight w:val="0"/>
      <w:marTop w:val="0"/>
      <w:marBottom w:val="0"/>
      <w:divBdr>
        <w:top w:val="none" w:sz="0" w:space="0" w:color="auto"/>
        <w:left w:val="none" w:sz="0" w:space="0" w:color="auto"/>
        <w:bottom w:val="none" w:sz="0" w:space="0" w:color="auto"/>
        <w:right w:val="none" w:sz="0" w:space="0" w:color="auto"/>
      </w:divBdr>
    </w:div>
    <w:div w:id="1318725805">
      <w:bodyDiv w:val="1"/>
      <w:marLeft w:val="0"/>
      <w:marRight w:val="0"/>
      <w:marTop w:val="0"/>
      <w:marBottom w:val="0"/>
      <w:divBdr>
        <w:top w:val="none" w:sz="0" w:space="0" w:color="auto"/>
        <w:left w:val="none" w:sz="0" w:space="0" w:color="auto"/>
        <w:bottom w:val="none" w:sz="0" w:space="0" w:color="auto"/>
        <w:right w:val="none" w:sz="0" w:space="0" w:color="auto"/>
      </w:divBdr>
    </w:div>
    <w:div w:id="1392148312">
      <w:bodyDiv w:val="1"/>
      <w:marLeft w:val="0"/>
      <w:marRight w:val="0"/>
      <w:marTop w:val="0"/>
      <w:marBottom w:val="0"/>
      <w:divBdr>
        <w:top w:val="none" w:sz="0" w:space="0" w:color="auto"/>
        <w:left w:val="none" w:sz="0" w:space="0" w:color="auto"/>
        <w:bottom w:val="none" w:sz="0" w:space="0" w:color="auto"/>
        <w:right w:val="none" w:sz="0" w:space="0" w:color="auto"/>
      </w:divBdr>
    </w:div>
    <w:div w:id="1419905446">
      <w:bodyDiv w:val="1"/>
      <w:marLeft w:val="0"/>
      <w:marRight w:val="0"/>
      <w:marTop w:val="0"/>
      <w:marBottom w:val="0"/>
      <w:divBdr>
        <w:top w:val="none" w:sz="0" w:space="0" w:color="auto"/>
        <w:left w:val="none" w:sz="0" w:space="0" w:color="auto"/>
        <w:bottom w:val="none" w:sz="0" w:space="0" w:color="auto"/>
        <w:right w:val="none" w:sz="0" w:space="0" w:color="auto"/>
      </w:divBdr>
    </w:div>
    <w:div w:id="1462336640">
      <w:bodyDiv w:val="1"/>
      <w:marLeft w:val="0"/>
      <w:marRight w:val="0"/>
      <w:marTop w:val="0"/>
      <w:marBottom w:val="0"/>
      <w:divBdr>
        <w:top w:val="none" w:sz="0" w:space="0" w:color="auto"/>
        <w:left w:val="none" w:sz="0" w:space="0" w:color="auto"/>
        <w:bottom w:val="none" w:sz="0" w:space="0" w:color="auto"/>
        <w:right w:val="none" w:sz="0" w:space="0" w:color="auto"/>
      </w:divBdr>
    </w:div>
    <w:div w:id="1534340545">
      <w:bodyDiv w:val="1"/>
      <w:marLeft w:val="0"/>
      <w:marRight w:val="0"/>
      <w:marTop w:val="0"/>
      <w:marBottom w:val="0"/>
      <w:divBdr>
        <w:top w:val="none" w:sz="0" w:space="0" w:color="auto"/>
        <w:left w:val="none" w:sz="0" w:space="0" w:color="auto"/>
        <w:bottom w:val="none" w:sz="0" w:space="0" w:color="auto"/>
        <w:right w:val="none" w:sz="0" w:space="0" w:color="auto"/>
      </w:divBdr>
    </w:div>
    <w:div w:id="1537229682">
      <w:bodyDiv w:val="1"/>
      <w:marLeft w:val="0"/>
      <w:marRight w:val="0"/>
      <w:marTop w:val="0"/>
      <w:marBottom w:val="0"/>
      <w:divBdr>
        <w:top w:val="none" w:sz="0" w:space="0" w:color="auto"/>
        <w:left w:val="none" w:sz="0" w:space="0" w:color="auto"/>
        <w:bottom w:val="none" w:sz="0" w:space="0" w:color="auto"/>
        <w:right w:val="none" w:sz="0" w:space="0" w:color="auto"/>
      </w:divBdr>
      <w:divsChild>
        <w:div w:id="1941259697">
          <w:marLeft w:val="475"/>
          <w:marRight w:val="0"/>
          <w:marTop w:val="82"/>
          <w:marBottom w:val="120"/>
          <w:divBdr>
            <w:top w:val="none" w:sz="0" w:space="0" w:color="auto"/>
            <w:left w:val="none" w:sz="0" w:space="0" w:color="auto"/>
            <w:bottom w:val="none" w:sz="0" w:space="0" w:color="auto"/>
            <w:right w:val="none" w:sz="0" w:space="0" w:color="auto"/>
          </w:divBdr>
        </w:div>
        <w:div w:id="1299411522">
          <w:marLeft w:val="994"/>
          <w:marRight w:val="0"/>
          <w:marTop w:val="67"/>
          <w:marBottom w:val="120"/>
          <w:divBdr>
            <w:top w:val="none" w:sz="0" w:space="0" w:color="auto"/>
            <w:left w:val="none" w:sz="0" w:space="0" w:color="auto"/>
            <w:bottom w:val="none" w:sz="0" w:space="0" w:color="auto"/>
            <w:right w:val="none" w:sz="0" w:space="0" w:color="auto"/>
          </w:divBdr>
        </w:div>
        <w:div w:id="1492719753">
          <w:marLeft w:val="994"/>
          <w:marRight w:val="0"/>
          <w:marTop w:val="67"/>
          <w:marBottom w:val="120"/>
          <w:divBdr>
            <w:top w:val="none" w:sz="0" w:space="0" w:color="auto"/>
            <w:left w:val="none" w:sz="0" w:space="0" w:color="auto"/>
            <w:bottom w:val="none" w:sz="0" w:space="0" w:color="auto"/>
            <w:right w:val="none" w:sz="0" w:space="0" w:color="auto"/>
          </w:divBdr>
        </w:div>
      </w:divsChild>
    </w:div>
    <w:div w:id="1613321736">
      <w:bodyDiv w:val="1"/>
      <w:marLeft w:val="0"/>
      <w:marRight w:val="0"/>
      <w:marTop w:val="0"/>
      <w:marBottom w:val="0"/>
      <w:divBdr>
        <w:top w:val="none" w:sz="0" w:space="0" w:color="auto"/>
        <w:left w:val="none" w:sz="0" w:space="0" w:color="auto"/>
        <w:bottom w:val="none" w:sz="0" w:space="0" w:color="auto"/>
        <w:right w:val="none" w:sz="0" w:space="0" w:color="auto"/>
      </w:divBdr>
    </w:div>
    <w:div w:id="1622614148">
      <w:bodyDiv w:val="1"/>
      <w:marLeft w:val="0"/>
      <w:marRight w:val="0"/>
      <w:marTop w:val="0"/>
      <w:marBottom w:val="0"/>
      <w:divBdr>
        <w:top w:val="none" w:sz="0" w:space="0" w:color="auto"/>
        <w:left w:val="none" w:sz="0" w:space="0" w:color="auto"/>
        <w:bottom w:val="none" w:sz="0" w:space="0" w:color="auto"/>
        <w:right w:val="none" w:sz="0" w:space="0" w:color="auto"/>
      </w:divBdr>
    </w:div>
    <w:div w:id="1813520521">
      <w:bodyDiv w:val="1"/>
      <w:marLeft w:val="0"/>
      <w:marRight w:val="0"/>
      <w:marTop w:val="0"/>
      <w:marBottom w:val="0"/>
      <w:divBdr>
        <w:top w:val="none" w:sz="0" w:space="0" w:color="auto"/>
        <w:left w:val="none" w:sz="0" w:space="0" w:color="auto"/>
        <w:bottom w:val="none" w:sz="0" w:space="0" w:color="auto"/>
        <w:right w:val="none" w:sz="0" w:space="0" w:color="auto"/>
      </w:divBdr>
    </w:div>
    <w:div w:id="1852403970">
      <w:bodyDiv w:val="1"/>
      <w:marLeft w:val="0"/>
      <w:marRight w:val="0"/>
      <w:marTop w:val="0"/>
      <w:marBottom w:val="0"/>
      <w:divBdr>
        <w:top w:val="none" w:sz="0" w:space="0" w:color="auto"/>
        <w:left w:val="none" w:sz="0" w:space="0" w:color="auto"/>
        <w:bottom w:val="none" w:sz="0" w:space="0" w:color="auto"/>
        <w:right w:val="none" w:sz="0" w:space="0" w:color="auto"/>
      </w:divBdr>
    </w:div>
    <w:div w:id="1852792796">
      <w:bodyDiv w:val="1"/>
      <w:marLeft w:val="0"/>
      <w:marRight w:val="0"/>
      <w:marTop w:val="0"/>
      <w:marBottom w:val="0"/>
      <w:divBdr>
        <w:top w:val="none" w:sz="0" w:space="0" w:color="auto"/>
        <w:left w:val="none" w:sz="0" w:space="0" w:color="auto"/>
        <w:bottom w:val="none" w:sz="0" w:space="0" w:color="auto"/>
        <w:right w:val="none" w:sz="0" w:space="0" w:color="auto"/>
      </w:divBdr>
    </w:div>
    <w:div w:id="1895002822">
      <w:bodyDiv w:val="1"/>
      <w:marLeft w:val="0"/>
      <w:marRight w:val="0"/>
      <w:marTop w:val="0"/>
      <w:marBottom w:val="0"/>
      <w:divBdr>
        <w:top w:val="none" w:sz="0" w:space="0" w:color="auto"/>
        <w:left w:val="none" w:sz="0" w:space="0" w:color="auto"/>
        <w:bottom w:val="none" w:sz="0" w:space="0" w:color="auto"/>
        <w:right w:val="none" w:sz="0" w:space="0" w:color="auto"/>
      </w:divBdr>
    </w:div>
    <w:div w:id="1905294148">
      <w:bodyDiv w:val="1"/>
      <w:marLeft w:val="0"/>
      <w:marRight w:val="0"/>
      <w:marTop w:val="0"/>
      <w:marBottom w:val="0"/>
      <w:divBdr>
        <w:top w:val="none" w:sz="0" w:space="0" w:color="auto"/>
        <w:left w:val="none" w:sz="0" w:space="0" w:color="auto"/>
        <w:bottom w:val="none" w:sz="0" w:space="0" w:color="auto"/>
        <w:right w:val="none" w:sz="0" w:space="0" w:color="auto"/>
      </w:divBdr>
    </w:div>
    <w:div w:id="1927155509">
      <w:bodyDiv w:val="1"/>
      <w:marLeft w:val="0"/>
      <w:marRight w:val="0"/>
      <w:marTop w:val="0"/>
      <w:marBottom w:val="0"/>
      <w:divBdr>
        <w:top w:val="none" w:sz="0" w:space="0" w:color="auto"/>
        <w:left w:val="none" w:sz="0" w:space="0" w:color="auto"/>
        <w:bottom w:val="none" w:sz="0" w:space="0" w:color="auto"/>
        <w:right w:val="none" w:sz="0" w:space="0" w:color="auto"/>
      </w:divBdr>
    </w:div>
    <w:div w:id="1977762372">
      <w:bodyDiv w:val="1"/>
      <w:marLeft w:val="0"/>
      <w:marRight w:val="0"/>
      <w:marTop w:val="0"/>
      <w:marBottom w:val="0"/>
      <w:divBdr>
        <w:top w:val="none" w:sz="0" w:space="0" w:color="auto"/>
        <w:left w:val="none" w:sz="0" w:space="0" w:color="auto"/>
        <w:bottom w:val="none" w:sz="0" w:space="0" w:color="auto"/>
        <w:right w:val="none" w:sz="0" w:space="0" w:color="auto"/>
      </w:divBdr>
    </w:div>
    <w:div w:id="1995645145">
      <w:bodyDiv w:val="1"/>
      <w:marLeft w:val="0"/>
      <w:marRight w:val="0"/>
      <w:marTop w:val="0"/>
      <w:marBottom w:val="0"/>
      <w:divBdr>
        <w:top w:val="none" w:sz="0" w:space="0" w:color="auto"/>
        <w:left w:val="none" w:sz="0" w:space="0" w:color="auto"/>
        <w:bottom w:val="none" w:sz="0" w:space="0" w:color="auto"/>
        <w:right w:val="none" w:sz="0" w:space="0" w:color="auto"/>
      </w:divBdr>
    </w:div>
    <w:div w:id="2021854321">
      <w:bodyDiv w:val="1"/>
      <w:marLeft w:val="0"/>
      <w:marRight w:val="0"/>
      <w:marTop w:val="0"/>
      <w:marBottom w:val="0"/>
      <w:divBdr>
        <w:top w:val="none" w:sz="0" w:space="0" w:color="auto"/>
        <w:left w:val="none" w:sz="0" w:space="0" w:color="auto"/>
        <w:bottom w:val="none" w:sz="0" w:space="0" w:color="auto"/>
        <w:right w:val="none" w:sz="0" w:space="0" w:color="auto"/>
      </w:divBdr>
    </w:div>
    <w:div w:id="206185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ata.cityofchicago.org/Education/Chicago-Public-Schools-School-Progress-Reports-SY2/ngix-dc87" TargetMode="External"/><Relationship Id="rId3" Type="http://schemas.openxmlformats.org/officeDocument/2006/relationships/styles" Target="styles.xml"/><Relationship Id="rId21" Type="http://schemas.openxmlformats.org/officeDocument/2006/relationships/hyperlink" Target="https://github.com/nytimes/covid-19-data/tree/master/mask-us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cps.edu/about/district-data/metrics/" TargetMode="External"/><Relationship Id="rId2" Type="http://schemas.openxmlformats.org/officeDocument/2006/relationships/numbering" Target="numbering.xml"/><Relationship Id="rId16" Type="http://schemas.openxmlformats.org/officeDocument/2006/relationships/hyperlink" Target="https://www.isbe.net/pages/illinois-state-report-card-data.aspx" TargetMode="External"/><Relationship Id="rId20" Type="http://schemas.openxmlformats.org/officeDocument/2006/relationships/hyperlink" Target="https://data.cdc.gov/Policy-Surveillance/U-S-State-and-Territorial-Public-Mask-Mandates-Fro/62d6-pm5i"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kaggle.com/antgoldbloom/covid19-data-from-john-hopkins-university?select=RAW_us_confirmed_cases.csv"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Mac21</b:Tag>
    <b:SourceType>JournalArticle</b:SourceType>
    <b:Guid>{96B068BD-C68C-47F6-989F-3D251F0C8EAC}</b:Guid>
    <b:Author>
      <b:Author>
        <b:NameList>
          <b:Person>
            <b:Last>Macy</b:Last>
            <b:First>Michelle</b:First>
            <b:Middle>L</b:Middle>
          </b:Person>
          <b:Person>
            <b:Last>Smith</b:Last>
            <b:First>Tracie</b:First>
            <b:Middle>L</b:Middle>
          </b:Person>
          <b:Person>
            <b:Last>Cartland</b:Last>
            <b:First>Jenifer</b:First>
          </b:Person>
          <b:Person>
            <b:Last>Golbeck</b:Last>
            <b:First>Emily</b:First>
          </b:Person>
          <b:Person>
            <b:Last>Davis</b:Last>
            <b:First>Matthew</b:First>
            <b:Middle>M</b:Middle>
          </b:Person>
        </b:NameList>
      </b:Author>
    </b:Author>
    <b:Title>Parent‐reported hesitancy to seek emergency care for children at the crest of the first wave of COVID‐19 in Chicago</b:Title>
    <b:JournalName>Academic emergency medicine</b:JournalName>
    <b:Year>2021</b:Year>
    <b:Pages>355-358</b:Pages>
    <b:RefOrder>1</b:RefOrder>
  </b:Source>
  <b:Source>
    <b:Tag>Mus21</b:Tag>
    <b:SourceType>JournalArticle</b:SourceType>
    <b:Guid>{F6298B18-16A8-46E0-A412-2892CC8E12F5}</b:Guid>
    <b:Author>
      <b:Author>
        <b:NameList>
          <b:Person>
            <b:Last>Mustanski</b:Last>
            <b:First>B.,</b:First>
            <b:Middle>Saber, R., Ryan, D. T., Benbow, N., Madkins, K., Hayford, C., Newcomb, M. E., Schrock, J. M., Vaught, L. A., Reiser, N. L., Velez, M. P., Hsieh, R. R., Demonbreun, A. R., D'Aquila, R., McNally, E. M., &amp; McDade, T. W. (2021). Geographic disp</b:Middle>
          </b:Person>
        </b:NameList>
      </b:Author>
    </b:Author>
    <b:Title>Geographic disparities in COVID-19 case rates are not reflected in seropositivity rates using a neighborhood survey in Chicago</b:Title>
    <b:JournalName>Annals of epidemiology</b:JournalName>
    <b:Year>2021</b:Year>
    <b:RefOrder>2</b:RefOrder>
  </b:Source>
  <b:Source>
    <b:Tag>Chi20</b:Tag>
    <b:SourceType>InternetSite</b:SourceType>
    <b:Guid>{053F7B4C-6483-4944-843E-2256DFB23342}</b:Guid>
    <b:Title>Chicago Public Schools Releases Equity-Focused Guidance on Grading, Graduation Requirements and Promotion Policy</b:Title>
    <b:Year>2020</b:Year>
    <b:Author>
      <b:Author>
        <b:Corporate>Chicago Public Schools</b:Corporate>
      </b:Author>
    </b:Author>
    <b:InternetSiteTitle>Chicago Public Schools Web Site</b:InternetSiteTitle>
    <b:Month>April</b:Month>
    <b:Day>30</b:Day>
    <b:URL>https://www.cps.edu/press-releases/chicago-public-schools-releases-equity-focused-guidance-on-grading-graduation-requirements-and-promotion-policy/</b:URL>
    <b:RefOrder>7</b:RefOrder>
  </b:Source>
  <b:Source>
    <b:Tag>USD18</b:Tag>
    <b:SourceType>InternetSite</b:SourceType>
    <b:Guid>{019276F7-439A-4AB2-87F5-E9C7F96DADBA}</b:Guid>
    <b:Author>
      <b:Author>
        <b:Corporate>U.S. Department of Education</b:Corporate>
      </b:Author>
    </b:Author>
    <b:Title>Improving Basic Programs Operated by Local Educational Agencies (Title I, Part A)</b:Title>
    <b:InternetSiteTitle>U.S. Department of Education Web Site</b:InternetSiteTitle>
    <b:Year>2018</b:Year>
    <b:Month>October</b:Month>
    <b:Day>24</b:Day>
    <b:URL>https://www2.ed.gov/programs/titleiparta/index.html</b:URL>
    <b:RefOrder>6</b:RefOrder>
  </b:Source>
  <b:Source>
    <b:Tag>Fer20</b:Tag>
    <b:SourceType>JournalArticle</b:SourceType>
    <b:Guid>{C125C941-711B-44A0-A51D-CDBCED61BA99}</b:Guid>
    <b:Author>
      <b:Author>
        <b:NameList>
          <b:Person>
            <b:Last>Fernández-Villaverde</b:Last>
            <b:First>Jesús</b:First>
          </b:Person>
          <b:Person>
            <b:Last>Jones</b:Last>
            <b:First>Charles</b:First>
          </b:Person>
        </b:NameList>
      </b:Author>
    </b:Author>
    <b:Title>Estimating and Simulating a SIRD Model of COVID-19 for Many Countries, States, and Cities</b:Title>
    <b:Year>2020</b:Year>
    <b:JournalName>National Bureau of Economic Research</b:JournalName>
    <b:RefOrder>4</b:RefOrder>
  </b:Source>
  <b:Source>
    <b:Tag>Gin14</b:Tag>
    <b:SourceType>Report</b:SourceType>
    <b:Guid>{FFE8F729-B23A-4B5A-AEE0-9B279D254448}</b:Guid>
    <b:Title>Key Education Indicators for NAEP: A Composite Indicator Approach</b:Title>
    <b:Year>2014</b:Year>
    <b:Author>
      <b:Author>
        <b:NameList>
          <b:Person>
            <b:Last>Ginsburg</b:Last>
          </b:Person>
        </b:NameList>
      </b:Author>
    </b:Author>
    <b:Publisher>National Assessment Governing Board</b:Publisher>
    <b:City>Washington, District of Columbia</b:City>
    <b:URL>https://www.nagb.gov/focus-areas/reports/key-education-indicators-for-naep.html</b:URL>
    <b:RefOrder>3</b:RefOrder>
  </b:Source>
  <b:Source>
    <b:Tag>Pee20</b:Tag>
    <b:SourceType>InternetSite</b:SourceType>
    <b:Guid>{490ABF81-9EEB-4F0E-8EF2-83CFE6C0B008}</b:Guid>
    <b:Author>
      <b:Author>
        <b:NameList>
          <b:Person>
            <b:Last>Peeples</b:Last>
            <b:First>Lynne</b:First>
          </b:Person>
        </b:NameList>
      </b:Author>
    </b:Author>
    <b:Title>Face masks: what the data say</b:Title>
    <b:InternetSiteTitle>nature</b:InternetSiteTitle>
    <b:Year>2020</b:Year>
    <b:Month>10</b:Month>
    <b:Day>6</b:Day>
    <b:URL>https://www.nature.com/articles/d41586-020-02801-8</b:URL>
    <b:RefOrder>5</b:RefOrder>
  </b:Source>
  <b:Source>
    <b:Tag>mic21</b:Tag>
    <b:SourceType>InternetSite</b:SourceType>
    <b:Guid>{11DACF73-BBC6-4019-93EC-E84DB929B80C}</b:Guid>
    <b:Title>Research Sources</b:Title>
    <b:Year>2021</b:Year>
    <b:Author>
      <b:Author>
        <b:Corporate>microCOVID Project</b:Corporate>
      </b:Author>
    </b:Author>
    <b:InternetSiteTitle>microCOVID Project</b:InternetSiteTitle>
    <b:Month>November</b:Month>
    <b:Day>4</b:Day>
    <b:URL>https://www.microcovid.org/paper/14-research-sources</b:URL>
    <b:RefOrder>8</b:RefOrder>
  </b:Source>
</b:Sources>
</file>

<file path=customXml/itemProps1.xml><?xml version="1.0" encoding="utf-8"?>
<ds:datastoreItem xmlns:ds="http://schemas.openxmlformats.org/officeDocument/2006/customXml" ds:itemID="{1C104EA8-52C0-4E6B-9FFC-6682BE11F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3182</TotalTime>
  <Pages>12</Pages>
  <Words>2641</Words>
  <Characters>15056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Sweet</dc:creator>
  <cp:keywords/>
  <dc:description/>
  <cp:lastModifiedBy>Kevin Sweet</cp:lastModifiedBy>
  <cp:revision>152</cp:revision>
  <dcterms:created xsi:type="dcterms:W3CDTF">2021-12-09T20:45:00Z</dcterms:created>
  <dcterms:modified xsi:type="dcterms:W3CDTF">2021-12-15T00:35:00Z</dcterms:modified>
</cp:coreProperties>
</file>