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4A" w:rsidRPr="00EA2A4A" w:rsidRDefault="00EA2A4A" w:rsidP="00EA2A4A">
      <w:pPr>
        <w:shd w:val="clear" w:color="auto" w:fill="F9F9F9"/>
        <w:spacing w:before="100" w:beforeAutospacing="1" w:after="300" w:line="240" w:lineRule="auto"/>
        <w:outlineLvl w:val="3"/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</w:pPr>
      <w:r w:rsidRPr="00EA2A4A"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  <w:t>Minimální požadavky ke splnění</w:t>
      </w:r>
    </w:p>
    <w:p w:rsidR="00EA2A4A" w:rsidRPr="00EA2A4A" w:rsidRDefault="00EA2A4A" w:rsidP="00EA2A4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obsahuje kompletní správu (CRUD) </w:t>
      </w:r>
      <w:r w:rsidRPr="00EA2A4A">
        <w:rPr>
          <w:rFonts w:ascii="Arial" w:eastAsia="Times New Roman" w:hAnsi="Arial" w:cs="Arial"/>
          <w:b/>
          <w:bCs/>
          <w:color w:val="404041"/>
          <w:sz w:val="24"/>
          <w:szCs w:val="24"/>
          <w:lang w:eastAsia="cs-CZ"/>
        </w:rPr>
        <w:t>pojištěných</w:t>
      </w: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 (např. "Jan Novák") a jejich </w:t>
      </w:r>
      <w:r w:rsidRPr="00EA2A4A">
        <w:rPr>
          <w:rFonts w:ascii="Arial" w:eastAsia="Times New Roman" w:hAnsi="Arial" w:cs="Arial"/>
          <w:b/>
          <w:bCs/>
          <w:color w:val="404041"/>
          <w:sz w:val="24"/>
          <w:szCs w:val="24"/>
          <w:lang w:eastAsia="cs-CZ"/>
        </w:rPr>
        <w:t>pojištění</w:t>
      </w: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 (např. "pojištění bytu"):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Vytvoření pojištěného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Vytvoření pojištění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Zobrazení detailu pojištěného včetně jeho pojištění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Zobrazení detailu pojištění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Zobrazení seznamu pojištěných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Odstranění pojištěného včetně všech jeho pojištění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Odstranění pojištění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Editace pojištěného</w:t>
      </w:r>
    </w:p>
    <w:p w:rsidR="00EA2A4A" w:rsidRPr="00EA2A4A" w:rsidRDefault="00EA2A4A" w:rsidP="00EA2A4A">
      <w:pPr>
        <w:numPr>
          <w:ilvl w:val="1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Editace pojištění pojištěného</w:t>
      </w:r>
    </w:p>
    <w:p w:rsidR="00EA2A4A" w:rsidRPr="00EA2A4A" w:rsidRDefault="00EA2A4A" w:rsidP="00EA2A4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Dané entity jsou uloženy v SQL databázi</w:t>
      </w:r>
    </w:p>
    <w:p w:rsidR="00EA2A4A" w:rsidRPr="00EA2A4A" w:rsidRDefault="00EA2A4A" w:rsidP="00EA2A4A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je naprogramována podle dobrých praktik a je plně responzivní</w:t>
      </w:r>
    </w:p>
    <w:p w:rsidR="00EA2A4A" w:rsidRPr="00EA2A4A" w:rsidRDefault="00EA2A4A" w:rsidP="00EA2A4A">
      <w:pPr>
        <w:shd w:val="clear" w:color="auto" w:fill="F9F9F9"/>
        <w:spacing w:before="100" w:beforeAutospacing="1" w:after="300" w:line="240" w:lineRule="auto"/>
        <w:outlineLvl w:val="3"/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</w:pPr>
      <w:r w:rsidRPr="00EA2A4A"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  <w:t>Doporučené rozšíření</w:t>
      </w:r>
    </w:p>
    <w:p w:rsidR="00EA2A4A" w:rsidRPr="00EA2A4A" w:rsidRDefault="00EA2A4A" w:rsidP="00EA2A4A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podporuje uživatelské role (pojištěný, administrátor), navrhni a implementuj, kdo vidí a může editovat jaká data</w:t>
      </w:r>
    </w:p>
    <w:p w:rsidR="00EA2A4A" w:rsidRPr="00EA2A4A" w:rsidRDefault="00EA2A4A" w:rsidP="00EA2A4A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eviduje </w:t>
      </w:r>
      <w:r w:rsidRPr="00EA2A4A">
        <w:rPr>
          <w:rFonts w:ascii="Arial" w:eastAsia="Times New Roman" w:hAnsi="Arial" w:cs="Arial"/>
          <w:b/>
          <w:bCs/>
          <w:color w:val="404041"/>
          <w:sz w:val="24"/>
          <w:szCs w:val="24"/>
          <w:lang w:eastAsia="cs-CZ"/>
        </w:rPr>
        <w:t>pojistné události</w:t>
      </w: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 pojištěných, rovněž pomocí kompletní správy (CRUD)</w:t>
      </w:r>
    </w:p>
    <w:p w:rsidR="00EA2A4A" w:rsidRPr="00EA2A4A" w:rsidRDefault="00EA2A4A" w:rsidP="00EA2A4A">
      <w:pPr>
        <w:shd w:val="clear" w:color="auto" w:fill="F9F9F9"/>
        <w:spacing w:before="100" w:beforeAutospacing="1" w:after="300" w:line="240" w:lineRule="auto"/>
        <w:outlineLvl w:val="3"/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</w:pPr>
      <w:r w:rsidRPr="00EA2A4A">
        <w:rPr>
          <w:rFonts w:ascii="Arial" w:eastAsia="Times New Roman" w:hAnsi="Arial" w:cs="Arial"/>
          <w:b/>
          <w:bCs/>
          <w:color w:val="404F5C"/>
          <w:sz w:val="33"/>
          <w:szCs w:val="33"/>
          <w:lang w:eastAsia="cs-CZ"/>
        </w:rPr>
        <w:t>Expertní rozšíření</w:t>
      </w:r>
    </w:p>
    <w:p w:rsidR="00EA2A4A" w:rsidRPr="00EA2A4A" w:rsidRDefault="00EA2A4A" w:rsidP="00EA2A4A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podporuje rozlišení </w:t>
      </w:r>
      <w:r w:rsidRPr="00EA2A4A">
        <w:rPr>
          <w:rFonts w:ascii="Arial" w:eastAsia="Times New Roman" w:hAnsi="Arial" w:cs="Arial"/>
          <w:b/>
          <w:bCs/>
          <w:color w:val="404041"/>
          <w:sz w:val="24"/>
          <w:szCs w:val="24"/>
          <w:lang w:eastAsia="cs-CZ"/>
        </w:rPr>
        <w:t>pojistníků</w:t>
      </w: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 (těch, kdo platí pojištění) a </w:t>
      </w:r>
      <w:r w:rsidRPr="00EA2A4A">
        <w:rPr>
          <w:rFonts w:ascii="Arial" w:eastAsia="Times New Roman" w:hAnsi="Arial" w:cs="Arial"/>
          <w:b/>
          <w:bCs/>
          <w:color w:val="404041"/>
          <w:sz w:val="24"/>
          <w:szCs w:val="24"/>
          <w:lang w:eastAsia="cs-CZ"/>
        </w:rPr>
        <w:t>pojištěných</w:t>
      </w: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 (těch, na koho se pojištění vztahuje). Místo zavedení 2 databázových tabulek se zamysli nad řešením přes výčtový typ (</w:t>
      </w:r>
      <w:proofErr w:type="spellStart"/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enum</w:t>
      </w:r>
      <w:proofErr w:type="spellEnd"/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).</w:t>
      </w:r>
    </w:p>
    <w:p w:rsidR="00EA2A4A" w:rsidRPr="00EA2A4A" w:rsidRDefault="00EA2A4A" w:rsidP="00EA2A4A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ind w:hanging="312"/>
        <w:rPr>
          <w:rFonts w:ascii="Arial" w:eastAsia="Times New Roman" w:hAnsi="Arial" w:cs="Arial"/>
          <w:color w:val="404041"/>
          <w:sz w:val="24"/>
          <w:szCs w:val="24"/>
          <w:lang w:eastAsia="cs-CZ"/>
        </w:rPr>
      </w:pPr>
      <w:r w:rsidRPr="00EA2A4A">
        <w:rPr>
          <w:rFonts w:ascii="Arial" w:eastAsia="Times New Roman" w:hAnsi="Arial" w:cs="Arial"/>
          <w:color w:val="404041"/>
          <w:sz w:val="24"/>
          <w:szCs w:val="24"/>
          <w:lang w:eastAsia="cs-CZ"/>
        </w:rPr>
        <w:t>Aplikace generuje statistiky ve formě reportů</w:t>
      </w:r>
    </w:p>
    <w:p w:rsidR="00E519D5" w:rsidRPr="00CC2E48" w:rsidRDefault="004154F0">
      <w:pPr>
        <w:rPr>
          <w:b/>
        </w:rPr>
      </w:pPr>
      <w:r w:rsidRPr="00CC2E48">
        <w:rPr>
          <w:b/>
        </w:rPr>
        <w:t>Druhy pojištění</w:t>
      </w:r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5" w:anchor="1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Životní pojištění</w:t>
        </w:r>
      </w:hyperlink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6" w:anchor="2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Pojištění schopnosti splácet</w:t>
        </w:r>
      </w:hyperlink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7" w:anchor="3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Pojištění domácnosti a nemovitosti</w:t>
        </w:r>
      </w:hyperlink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8" w:anchor="4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Cestovní pojištění</w:t>
        </w:r>
      </w:hyperlink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9" w:anchor="5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Pojištění osobních věcí a karet</w:t>
        </w:r>
      </w:hyperlink>
    </w:p>
    <w:p w:rsidR="004154F0" w:rsidRP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10" w:anchor="6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Havarijní pojištění a povinné ručení</w:t>
        </w:r>
      </w:hyperlink>
    </w:p>
    <w:p w:rsidR="004154F0" w:rsidRDefault="004154F0" w:rsidP="004154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hyperlink r:id="rId11" w:anchor="7" w:history="1">
        <w:r w:rsidRPr="004154F0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cs-CZ"/>
          </w:rPr>
          <w:t>Pojištění odpovědnosti z občanského života</w:t>
        </w:r>
      </w:hyperlink>
    </w:p>
    <w:p w:rsidR="00CC2E48" w:rsidRDefault="00CC2E48">
      <w:pPr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br w:type="page"/>
      </w:r>
    </w:p>
    <w:p w:rsidR="00CC2E48" w:rsidRDefault="00CC2E48" w:rsidP="00CC2E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</w:p>
    <w:p w:rsidR="00CC2E48" w:rsidRDefault="00CC2E48">
      <w:pPr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</w:pPr>
      <w:r w:rsidRPr="00CC2E48"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  <w:t>Údaje k</w:t>
      </w:r>
      <w:r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  <w:t> </w:t>
      </w:r>
      <w:r w:rsidRPr="00CC2E48"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  <w:t>pojištění</w:t>
      </w:r>
    </w:p>
    <w:p w:rsidR="004F798C" w:rsidRDefault="00CC2E48">
      <w:pPr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t>Typ pojištění</w:t>
      </w:r>
    </w:p>
    <w:p w:rsidR="00CC2E48" w:rsidRDefault="00CC2E48">
      <w:pPr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t>Částka</w:t>
      </w:r>
    </w:p>
    <w:p w:rsidR="00CC2E48" w:rsidRDefault="00CC2E48">
      <w:pPr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t xml:space="preserve">Platnost </w:t>
      </w:r>
      <w:proofErr w:type="gramStart"/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t>od</w:t>
      </w:r>
      <w:proofErr w:type="gramEnd"/>
    </w:p>
    <w:p w:rsidR="00CC2E48" w:rsidRDefault="00CC2E48">
      <w:pPr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303030"/>
          <w:sz w:val="24"/>
          <w:szCs w:val="24"/>
          <w:lang w:eastAsia="cs-CZ"/>
        </w:rPr>
        <w:t>Platnost do</w:t>
      </w:r>
      <w:bookmarkStart w:id="0" w:name="_GoBack"/>
      <w:bookmarkEnd w:id="0"/>
    </w:p>
    <w:p w:rsidR="00CC2E48" w:rsidRDefault="00CC2E48">
      <w:pPr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</w:pPr>
    </w:p>
    <w:p w:rsidR="00CC2E48" w:rsidRPr="00CC2E48" w:rsidRDefault="00CC2E48">
      <w:pPr>
        <w:rPr>
          <w:rFonts w:ascii="Arial" w:eastAsia="Times New Roman" w:hAnsi="Arial" w:cs="Arial"/>
          <w:b/>
          <w:color w:val="303030"/>
          <w:sz w:val="24"/>
          <w:szCs w:val="24"/>
          <w:lang w:eastAsia="cs-CZ"/>
        </w:rPr>
      </w:pPr>
    </w:p>
    <w:p w:rsidR="004F798C" w:rsidRPr="004154F0" w:rsidRDefault="004F798C" w:rsidP="004F79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03030"/>
          <w:sz w:val="24"/>
          <w:szCs w:val="24"/>
          <w:lang w:eastAsia="cs-CZ"/>
        </w:rPr>
      </w:pPr>
    </w:p>
    <w:p w:rsidR="004154F0" w:rsidRPr="004F798C" w:rsidRDefault="004F798C">
      <w:pPr>
        <w:rPr>
          <w:b/>
        </w:rPr>
      </w:pPr>
      <w:r w:rsidRPr="004F798C">
        <w:rPr>
          <w:b/>
        </w:rPr>
        <w:t xml:space="preserve">Osobní údaje pojištěnce </w:t>
      </w:r>
    </w:p>
    <w:p w:rsidR="004F798C" w:rsidRDefault="004F798C">
      <w:r>
        <w:t>Jméno</w:t>
      </w:r>
    </w:p>
    <w:p w:rsidR="004F798C" w:rsidRDefault="004F798C">
      <w:r>
        <w:t>Příjmení</w:t>
      </w:r>
    </w:p>
    <w:p w:rsidR="004F798C" w:rsidRDefault="004F798C">
      <w:r>
        <w:t>Email</w:t>
      </w:r>
    </w:p>
    <w:p w:rsidR="004F798C" w:rsidRDefault="004F798C">
      <w:r>
        <w:t>Telefon</w:t>
      </w:r>
    </w:p>
    <w:p w:rsidR="004F798C" w:rsidRDefault="004F798C">
      <w:r>
        <w:t>Ulice a číslo popisné</w:t>
      </w:r>
    </w:p>
    <w:p w:rsidR="004F798C" w:rsidRDefault="004F798C">
      <w:r>
        <w:t>Město</w:t>
      </w:r>
    </w:p>
    <w:p w:rsidR="004F798C" w:rsidRDefault="004F798C">
      <w:r>
        <w:t>PSČ</w:t>
      </w:r>
    </w:p>
    <w:p w:rsidR="004F798C" w:rsidRDefault="004F798C"/>
    <w:p w:rsidR="004F798C" w:rsidRDefault="004F798C"/>
    <w:sectPr w:rsidR="004F79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0EC4"/>
    <w:multiLevelType w:val="multilevel"/>
    <w:tmpl w:val="444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E575F"/>
    <w:multiLevelType w:val="multilevel"/>
    <w:tmpl w:val="531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2035B"/>
    <w:multiLevelType w:val="multilevel"/>
    <w:tmpl w:val="B38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40903"/>
    <w:multiLevelType w:val="multilevel"/>
    <w:tmpl w:val="C4C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A4A"/>
    <w:rsid w:val="004154F0"/>
    <w:rsid w:val="004F798C"/>
    <w:rsid w:val="00CC2E48"/>
    <w:rsid w:val="00E519D5"/>
    <w:rsid w:val="00EA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181F0"/>
  <w15:chartTrackingRefBased/>
  <w15:docId w15:val="{24FFA88A-9192-4CE8-AE79-4F441166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EA2A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"/>
    <w:rsid w:val="00EA2A4A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A2A4A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4154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as.cz/cs/blog/dobre-vedet/prehled-zakladnich-typu-pojiste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sas.cz/cs/blog/dobre-vedet/prehled-zakladnich-typu-pojiste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as.cz/cs/blog/dobre-vedet/prehled-zakladnich-typu-pojisteni" TargetMode="External"/><Relationship Id="rId11" Type="http://schemas.openxmlformats.org/officeDocument/2006/relationships/hyperlink" Target="https://www.csas.cz/cs/blog/dobre-vedet/prehled-zakladnich-typu-pojisteni" TargetMode="External"/><Relationship Id="rId5" Type="http://schemas.openxmlformats.org/officeDocument/2006/relationships/hyperlink" Target="https://www.csas.cz/cs/blog/dobre-vedet/prehled-zakladnich-typu-pojisteni" TargetMode="External"/><Relationship Id="rId10" Type="http://schemas.openxmlformats.org/officeDocument/2006/relationships/hyperlink" Target="https://www.csas.cz/cs/blog/dobre-vedet/prehled-zakladnich-typu-pojiste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sas.cz/cs/blog/dobre-vedet/prehled-zakladnich-typu-pojisteni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304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3</cp:revision>
  <dcterms:created xsi:type="dcterms:W3CDTF">2023-10-02T05:06:00Z</dcterms:created>
  <dcterms:modified xsi:type="dcterms:W3CDTF">2023-10-02T05:14:00Z</dcterms:modified>
</cp:coreProperties>
</file>