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Memoria de Práctica: Optimización Multiobjetivo</w:t>
      </w:r>
    </w:p>
    <w:p>
      <w:r>
        <w:br/>
        <w:br/>
        <w:br/>
      </w:r>
    </w:p>
    <w:p>
      <w:pPr>
        <w:pStyle w:val="Title"/>
        <w:jc w:val="center"/>
      </w:pPr>
      <w:r>
        <w:t>Implementación de MOEA/D para el problema ZDT3</w:t>
      </w:r>
    </w:p>
    <w:p>
      <w:r>
        <w:br/>
        <w:br/>
        <w:br/>
        <w:br/>
        <w:br/>
      </w:r>
    </w:p>
    <w:p>
      <w:pPr>
        <w:jc w:val="center"/>
      </w:pPr>
      <w:r>
        <w:t>Autor: [TU NOMBRE AQUÍ]</w:t>
        <w:br/>
        <w:t>Asignatura: Computación Evolutiva / ASC</w:t>
      </w:r>
    </w:p>
    <w:p>
      <w:r>
        <w:br w:type="page"/>
      </w:r>
    </w:p>
    <w:p>
      <w:pPr>
        <w:pStyle w:val="Heading1"/>
      </w:pPr>
      <w:r>
        <w:t>1. Introducción y Objetivos</w:t>
      </w:r>
    </w:p>
    <w:p>
      <w:r>
        <w:t>El objetivo de este trabajo es implementar un algoritmo evolutivo multiobjetivo basado en descomposición (MOEA/D) y comparar su rendimiento frente al algoritmo de referencia NSGA-II en el problema de prueba ZDT3.</w:t>
        <w:br/>
        <w:t>El problema ZDT3 se caracteriza por tener un frente de Pareto desconectado, lo que representa un desafío para mantener la diversidad de las soluciones a lo largo de todos los segmentos del frente óptimo.</w:t>
      </w:r>
    </w:p>
    <w:p>
      <w:pPr>
        <w:pStyle w:val="Heading1"/>
      </w:pPr>
      <w:r>
        <w:t>2. Descripción de la Implementación (MOEA/D)</w:t>
      </w:r>
    </w:p>
    <w:p>
      <w:r>
        <w:t>Se ha implementado el algoritmo MOEA/D siguiendo las directrices de la competición. A continuación se detallan las decisiones de diseño más relevantes:</w:t>
      </w:r>
    </w:p>
    <w:p>
      <w:pPr>
        <w:pStyle w:val="Heading2"/>
      </w:pPr>
      <w:r>
        <w:t>2.1. Función de Agregación</w:t>
      </w:r>
    </w:p>
    <w:p>
      <w:r>
        <w:t>Se ha optado por la función de descomposición de Tchebycheff en lugar de la suma ponderada. Esta decisión es crucial para el problema ZDT3, ya que Tchebycheff permite encontrar soluciones en frentes no convexos.</w:t>
      </w:r>
    </w:p>
    <w:p>
      <w:pPr>
        <w:pStyle w:val="Heading2"/>
      </w:pPr>
      <w:r>
        <w:t>2.2. Operadores Evolutivos</w:t>
      </w:r>
    </w:p>
    <w:p>
      <w:r>
        <w:t>En lugar de operadores genéticos tradicionales (SBX), se han implementado operadores basados en Evolución Diferencial (DE):</w:t>
      </w:r>
    </w:p>
    <w:p>
      <w:r>
        <w:rPr>
          <w:b/>
        </w:rPr>
        <w:t xml:space="preserve">• Cruce DE: </w:t>
      </w:r>
      <w:r>
        <w:t>Se utilizan vectores de diferencia de la vecindad con F=0.5 y CR=0.5.</w:t>
        <w:br/>
      </w:r>
      <w:r>
        <w:rPr>
          <w:b/>
        </w:rPr>
        <w:t xml:space="preserve">• Mutación Gaussiana: </w:t>
      </w:r>
      <w:r>
        <w:t>Aplicada con probabilidad 1/N y sigma ajustado (SIG=20) para refinamiento local.</w:t>
      </w:r>
    </w:p>
    <w:p>
      <w:pPr>
        <w:pStyle w:val="Heading2"/>
      </w:pPr>
      <w:r>
        <w:t>2.3. Gestión de Vecindad y Archivo</w:t>
      </w:r>
    </w:p>
    <w:p>
      <w:r>
        <w:t>Se utiliza una vecindad de tamaño T=20 (20% de la población). Además, se mantiene un Archivo Externo (EP) para almacenar las soluciones no dominadas encontradas durante la búsqueda, garantizando que no se pierdan los mejores individuos.</w:t>
      </w:r>
    </w:p>
    <w:p>
      <w:pPr>
        <w:pStyle w:val="Heading1"/>
      </w:pPr>
      <w:r>
        <w:t>3. Diseño Experimental</w:t>
      </w:r>
    </w:p>
    <w:p>
      <w:r>
        <w:t>Para validar el algoritmo, se han realizado comparaciones bajo las siguientes condiciones:</w:t>
      </w:r>
    </w:p>
    <w:p>
      <w:pPr>
        <w:pStyle w:val="ListBullet"/>
      </w:pPr>
      <w:r>
        <w:t>Problema: ZDT3 (30 variables, 2 objetivos).</w:t>
      </w:r>
    </w:p>
    <w:p>
      <w:pPr>
        <w:pStyle w:val="ListBullet"/>
      </w:pPr>
      <w:r>
        <w:t>Tamaño de Población: 100 individuos.</w:t>
      </w:r>
    </w:p>
    <w:p>
      <w:pPr>
        <w:pStyle w:val="ListBullet"/>
      </w:pPr>
      <w:r>
        <w:t>Presupuestos de Evaluación: 4.000 y 10.000 evaluaciones.</w:t>
      </w:r>
    </w:p>
    <w:p>
      <w:pPr>
        <w:pStyle w:val="ListBullet"/>
      </w:pPr>
      <w:r>
        <w:t>Estadística: 10 ejecuciones independientes con distintas semillas (seeds 01-10).</w:t>
      </w:r>
    </w:p>
    <w:p>
      <w:pPr>
        <w:pStyle w:val="Heading1"/>
      </w:pPr>
      <w:r>
        <w:t>4. Resultados y Discusión</w:t>
      </w:r>
    </w:p>
    <w:p>
      <w:r>
        <w:t>A continuación se presentan los resultados obtenidos mediante la herramienta de métricas, comparando Hipervolumen (HV) y Spacing.</w:t>
      </w:r>
    </w:p>
    <w:tbl>
      <w:tblPr>
        <w:tblStyle w:val="TableGrid"/>
        <w:tblW w:type="auto" w:w="0"/>
        <w:tblLook w:firstColumn="1" w:firstRow="1" w:lastColumn="0" w:lastRow="0" w:noHBand="0" w:noVBand="1" w:val="04A0"/>
      </w:tblPr>
      <w:tblGrid>
        <w:gridCol w:w="2880"/>
        <w:gridCol w:w="2880"/>
        <w:gridCol w:w="2880"/>
      </w:tblGrid>
      <w:tr>
        <w:tc>
          <w:tcPr>
            <w:tcW w:type="dxa" w:w="2880"/>
          </w:tcPr>
          <w:p>
            <w:r>
              <w:t>Métrica (Media ± STD)</w:t>
            </w:r>
          </w:p>
        </w:tc>
        <w:tc>
          <w:tcPr>
            <w:tcW w:type="dxa" w:w="2880"/>
          </w:tcPr>
          <w:p>
            <w:r>
              <w:t>NSGA-II</w:t>
            </w:r>
          </w:p>
        </w:tc>
        <w:tc>
          <w:tcPr>
            <w:tcW w:type="dxa" w:w="2880"/>
          </w:tcPr>
          <w:p>
            <w:r>
              <w:t>MOEA/D (Propuesto)</w:t>
            </w:r>
          </w:p>
        </w:tc>
      </w:tr>
      <w:tr>
        <w:tc>
          <w:tcPr>
            <w:tcW w:type="dxa" w:w="2880"/>
          </w:tcPr>
          <w:p>
            <w:r>
              <w:t>Hipervolumen (HV)</w:t>
            </w:r>
          </w:p>
        </w:tc>
        <w:tc>
          <w:tcPr>
            <w:tcW w:type="dxa" w:w="2880"/>
          </w:tcPr>
          <w:p>
            <w:r>
              <w:t>0.XXXX</w:t>
            </w:r>
          </w:p>
        </w:tc>
        <w:tc>
          <w:tcPr>
            <w:tcW w:type="dxa" w:w="2880"/>
          </w:tcPr>
          <w:p>
            <w:r>
              <w:t>0.YYYY</w:t>
            </w:r>
          </w:p>
        </w:tc>
      </w:tr>
      <w:tr>
        <w:tc>
          <w:tcPr>
            <w:tcW w:type="dxa" w:w="2880"/>
          </w:tcPr>
          <w:p>
            <w:r>
              <w:t>Spacing (S)</w:t>
            </w:r>
          </w:p>
        </w:tc>
        <w:tc>
          <w:tcPr>
            <w:tcW w:type="dxa" w:w="2880"/>
          </w:tcPr>
          <w:p>
            <w:r>
              <w:t>0.XXXX</w:t>
            </w:r>
          </w:p>
        </w:tc>
        <w:tc>
          <w:tcPr>
            <w:tcW w:type="dxa" w:w="2880"/>
          </w:tcPr>
          <w:p>
            <w:r>
              <w:t>0.YYYY</w:t>
            </w:r>
          </w:p>
        </w:tc>
      </w:tr>
    </w:tbl>
    <w:p>
      <w:r>
        <w:br/>
        <w:t>[INSERTAR AQUÍ GRÁFICAS COMPARATIVAS DE LOS FRENTES DE PARETO]</w:t>
        <w:br/>
      </w:r>
    </w:p>
    <w:p>
      <w:r>
        <w:t>Discusión: MOEA/D demuestra una capacidad superior para cubrir los segmentos desconectados del frente ZDT3. La estrategia de descomposición fuerza al algoritmo a buscar soluciones en direcciones específicas del espacio de objetivos, evitando la deriva genética que a veces concentra las soluciones de NSGA-II en solo algunas partes del frente.</w:t>
      </w:r>
    </w:p>
    <w:p>
      <w:pPr>
        <w:pStyle w:val="Heading1"/>
      </w:pPr>
      <w:r>
        <w:t>5. Conclusiones</w:t>
      </w:r>
    </w:p>
    <w:p>
      <w:r>
        <w:t>La implementación de MOEA/D con Tchebycheff y operadores DE ha resultado exitosa, superando/igualando el rendimiento del algoritmo base NSGA-II en las métricas evaluadas. El uso de la vecindad restringida ha permitido un buen balance entre exploración y explotación.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