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b/>
          <w:bCs/>
          <w:color w:val="0E7C8A"/>
          <w:sz w:val="34"/>
          <w:szCs w:val="34"/>
        </w:rPr>
        <w:t xml:space="preserve">Legal Review Request</w:t>
      </w:r>
    </w:p>
    <w:p>
      <w:pPr>
        <w:spacing w:after="200"/>
        <w:jc w:val="center"/>
      </w:pPr>
      <w:r>
        <w:rPr>
          <w:i/>
          <w:iCs/>
          <w:sz w:val="22"/>
          <w:szCs w:val="22"/>
        </w:rPr>
        <w:t xml:space="preserve">Trainer session billing — card-on-file auto-charge, late-cancellation fees, and prepaid packages</w:t>
      </w:r>
    </w:p>
    <w:p>
      <w:pPr>
        <w:spacing w:after="120"/>
      </w:pPr>
      <w:r>
        <w:rPr>
          <w:b/>
          <w:bCs/>
          <w:sz w:val="21"/>
          <w:szCs w:val="21"/>
        </w:rPr>
        <w:t xml:space="preserve">Prepared for: </w:t>
      </w:r>
      <w:r>
        <w:rPr>
          <w:sz w:val="21"/>
          <w:szCs w:val="21"/>
        </w:rPr>
        <w:t xml:space="preserve">a licensed Florida attorney (plus payments / consumer-finance counsel where noted)</w:t>
      </w:r>
    </w:p>
    <w:p>
      <w:pPr>
        <w:spacing w:after="120"/>
      </w:pPr>
      <w:r>
        <w:rPr>
          <w:b/>
          <w:bCs/>
          <w:sz w:val="21"/>
          <w:szCs w:val="21"/>
        </w:rPr>
        <w:t xml:space="preserve">Business: </w:t>
      </w:r>
      <w:r>
        <w:rPr>
          <w:sz w:val="21"/>
          <w:szCs w:val="21"/>
        </w:rPr>
        <w:t xml:space="preserve">Smooth Training / Glide — a fitness SaaS platform. Owner-operator based in Miami, FL.</w:t>
      </w:r>
    </w:p>
    <w:p>
      <w:pPr>
        <w:spacing w:after="120"/>
      </w:pPr>
      <w:r>
        <w:rPr>
          <w:b/>
          <w:bCs/>
          <w:sz w:val="21"/>
          <w:szCs w:val="21"/>
        </w:rPr>
        <w:t xml:space="preserve">Date prepared: </w:t>
      </w:r>
      <w:r>
        <w:rPr>
          <w:sz w:val="21"/>
          <w:szCs w:val="21"/>
        </w:rPr>
        <w:t xml:space="preserve">__________________  (fill in before sending)</w:t>
      </w:r>
    </w:p>
    <w:p>
      <w:pPr>
        <w:spacing w:after="120"/>
      </w:pPr>
      <w:r>
        <w:rPr>
          <w:b/>
          <w:bCs/>
          <w:i/>
          <w:iCs/>
          <w:sz w:val="21"/>
          <w:szCs w:val="21"/>
        </w:rPr>
        <w:t xml:space="preserve">How this was prepared: </w:t>
      </w:r>
      <w:r>
        <w:rPr>
          <w:i/>
          <w:iCs/>
          <w:sz w:val="21"/>
          <w:szCs w:val="21"/>
        </w:rPr>
        <w:t xml:space="preserve">The questions below were assembled from our own primary-source research (Florida Statutes §§ 501.012–501.019, California Civil Code §§ 1812.80–1812.97, 15 U.S.C. § 8403 (ROSCA), and Stripe / Visa documentation). It is not legal advice and several points are flagged as unverified. We are asking you to confirm, correct, and advise. Source links are at the end.</w:t>
      </w:r>
    </w:p>
    <w:p>
      <w:pPr>
        <w:pBdr>
          <w:bottom w:val="single" w:color="CCCCCC" w:sz="6" w:space="8"/>
        </w:pBdr>
        <w:spacing w:after="160"/>
      </w:pPr>
      <w:r>
        <w:rPr>
          <w:sz w:val="21"/>
          <w:szCs w:val="21"/>
        </w:rPr>
        <w:t xml:space="preserve"/>
      </w:r>
    </w:p>
    <w:p>
      <w:pPr>
        <w:pStyle w:val="Heading1"/>
        <w:spacing w:after="120" w:before="260"/>
      </w:pPr>
      <w:r>
        <w:rPr>
          <w:b/>
          <w:bCs/>
          <w:color w:val="0E7C8A"/>
          <w:sz w:val="26"/>
          <w:szCs w:val="26"/>
        </w:rPr>
        <w:t xml:space="preserve">1.  What we are building</w:t>
      </w:r>
    </w:p>
    <w:p>
      <w:pPr>
        <w:spacing w:after="120"/>
      </w:pPr>
      <w:r>
        <w:rPr>
          <w:sz w:val="21"/>
          <w:szCs w:val="21"/>
        </w:rPr>
        <w:t xml:space="preserve">Glide lets a personal trainer bill a client for training sessions, three ways: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  <w:sz w:val="21"/>
          <w:szCs w:val="21"/>
        </w:rPr>
        <w:t xml:space="preserve">Auto-charge in arrears (our intended v1). </w:t>
      </w:r>
      <w:r>
        <w:rPr>
          <w:sz w:val="21"/>
          <w:szCs w:val="21"/>
        </w:rPr>
        <w:t xml:space="preserve">After each booked session's scheduled end passes, Glide charges the client's saved card — either as each session passes or in one weekly (Sunday) batch for sessions already delivered. No money is taken before a session happens.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  <w:sz w:val="21"/>
          <w:szCs w:val="21"/>
        </w:rPr>
        <w:t xml:space="preserve">Late-cancellation / no-show fees. </w:t>
      </w:r>
      <w:r>
        <w:rPr>
          <w:sz w:val="21"/>
          <w:szCs w:val="21"/>
        </w:rPr>
        <w:t xml:space="preserve">If a client cancels inside the trainer's stated notice window, or no-shows, a trainer-set % of the session price is charged to the card on file. A trainer-initiated cancellation is never charged.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  <w:sz w:val="21"/>
          <w:szCs w:val="21"/>
        </w:rPr>
        <w:t xml:space="preserve">Prepaid packages (planned, not yet sold). </w:t>
      </w:r>
      <w:r>
        <w:rPr>
          <w:sz w:val="21"/>
          <w:szCs w:val="21"/>
        </w:rPr>
        <w:t xml:space="preserve">A client pre-pays for N sessions; credits are consumed as sessions occur. We have NOT launched this and will not until you clear it — we understand it is the highest-risk piece.</w:t>
      </w:r>
    </w:p>
    <w:p>
      <w:pPr>
        <w:spacing w:after="120"/>
      </w:pPr>
      <w:r>
        <w:rPr>
          <w:b/>
          <w:bCs/>
          <w:sz w:val="21"/>
          <w:szCs w:val="21"/>
        </w:rPr>
        <w:t xml:space="preserve">Card handling: </w:t>
      </w:r>
      <w:r>
        <w:rPr>
          <w:sz w:val="21"/>
          <w:szCs w:val="21"/>
        </w:rPr>
        <w:t xml:space="preserve">the card is saved via Stripe-hosted checkout (SetupIntent); Glide never sees card numbers. Charges are off-session, card-on-file.</w:t>
      </w:r>
    </w:p>
    <w:p>
      <w:pPr>
        <w:spacing w:after="120"/>
      </w:pPr>
      <w:r>
        <w:rPr>
          <w:b/>
          <w:bCs/>
          <w:sz w:val="21"/>
          <w:szCs w:val="21"/>
        </w:rPr>
        <w:t xml:space="preserve">Consent / evidence already built </w:t>
      </w:r>
      <w:r>
        <w:rPr>
          <w:sz w:val="21"/>
          <w:szCs w:val="21"/>
        </w:rPr>
        <w:t xml:space="preserve">(please tell us if it is sufficient or what is missing):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1"/>
          <w:szCs w:val="21"/>
        </w:rPr>
        <w:t xml:space="preserve">A standardized cancellation-policy disclosure shown on every checkout, generated from the trainer's own settings (notice window, fee %, billing cadence).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1"/>
          <w:szCs w:val="21"/>
        </w:rPr>
        <w:t xml:space="preserve">A checkbox consent line authorizing the saved-card charges, captured with a server-side timestamp + IP + user-agent + a frozen snapshot of the exact policy text and version agreed to.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1"/>
          <w:szCs w:val="21"/>
        </w:rPr>
        <w:t xml:space="preserve">Dispute-evidence generation (the cancellation-lateness arithmetic) and self-serve cancellation in the app. No “no chargebacks” clause anywhere.</w:t>
      </w:r>
    </w:p>
    <w:p>
      <w:pPr>
        <w:spacing w:after="120"/>
      </w:pPr>
      <w:r>
        <w:rPr>
          <w:b/>
          <w:bCs/>
          <w:sz w:val="21"/>
          <w:szCs w:val="21"/>
        </w:rPr>
        <w:t xml:space="preserve">The two go / no-go decisions we need: </w:t>
      </w:r>
      <w:r>
        <w:rPr>
          <w:sz w:val="21"/>
          <w:szCs w:val="21"/>
        </w:rPr>
        <w:t xml:space="preserve">(A) can we turn on the auto-charge / late-fee model for our Florida clients, and what must our Terms of Service say first? (B) can we ever sell prepaid packages, and under what structure?</w:t>
      </w:r>
    </w:p>
    <w:p>
      <w:pPr>
        <w:pBdr>
          <w:bottom w:val="single" w:color="CCCCCC" w:sz="6" w:space="8"/>
        </w:pBdr>
        <w:spacing w:after="160"/>
      </w:pPr>
      <w:r>
        <w:rPr>
          <w:sz w:val="21"/>
          <w:szCs w:val="21"/>
        </w:rPr>
        <w:t xml:space="preserve"/>
      </w:r>
    </w:p>
    <w:p>
      <w:pPr>
        <w:pStyle w:val="Heading1"/>
        <w:spacing w:after="120" w:before="260"/>
      </w:pPr>
      <w:r>
        <w:rPr>
          <w:b/>
          <w:bCs/>
          <w:color w:val="0E7C8A"/>
          <w:sz w:val="26"/>
          <w:szCs w:val="26"/>
        </w:rPr>
        <w:t xml:space="preserve">2.  Florida — highest priority</w:t>
      </w:r>
    </w:p>
    <w:p>
      <w:pPr>
        <w:spacing w:after="130"/>
        <w:ind w:left="360" w:hanging="360"/>
      </w:pPr>
      <w:r>
        <w:rPr>
          <w:b/>
          <w:bCs/>
          <w:sz w:val="21"/>
          <w:szCs w:val="21"/>
        </w:rPr>
        <w:t xml:space="preserve">1.  </w:t>
      </w:r>
      <w:r>
        <w:rPr>
          <w:sz w:val="21"/>
          <w:szCs w:val="21"/>
        </w:rPr>
        <w:t xml:space="preserve">Does selling a prepaid multi-session package cause a mobile personal trainer to fail § 501.0125's condition (c) (“does not accept payment for services that are to be rendered more than 30 days after the date of payment”), thereby making them a regulated “health studio”?</w:t>
      </w:r>
    </w:p>
    <w:p>
      <w:pPr>
        <w:spacing w:after="130"/>
        <w:ind w:left="360" w:hanging="360"/>
      </w:pPr>
      <w:r>
        <w:rPr>
          <w:b/>
          <w:bCs/>
          <w:sz w:val="21"/>
          <w:szCs w:val="21"/>
        </w:rPr>
        <w:t xml:space="preserve">2.  </w:t>
      </w:r>
      <w:r>
        <w:rPr>
          <w:sz w:val="21"/>
          <w:szCs w:val="21"/>
        </w:rPr>
        <w:t xml:space="preserve">Does a pack with a 30-day expiry stay inside condition (c)? Does (c) look at the contractual right to future service, or at actual redemption timing? Is a pack fully redeemable within 30 days but in practice used later still compliant?</w:t>
      </w:r>
    </w:p>
    <w:p>
      <w:pPr>
        <w:spacing w:after="130"/>
        <w:ind w:left="360" w:hanging="360"/>
      </w:pPr>
      <w:r>
        <w:rPr>
          <w:b/>
          <w:bCs/>
          <w:sz w:val="21"/>
          <w:szCs w:val="21"/>
        </w:rPr>
        <w:t xml:space="preserve">3.  </w:t>
      </w:r>
      <w:r>
        <w:rPr>
          <w:sz w:val="21"/>
          <w:szCs w:val="21"/>
        </w:rPr>
        <w:t xml:space="preserve">If a trainer becomes a health studio, does a mobile trainer have a “business location” to register under § 501.015, and what address is used? Is the $300 fee per client location, per vehicle, per home office?</w:t>
      </w:r>
    </w:p>
    <w:p>
      <w:pPr>
        <w:spacing w:after="130"/>
        <w:ind w:left="360" w:hanging="360"/>
      </w:pPr>
      <w:r>
        <w:rPr>
          <w:b/>
          <w:bCs/>
          <w:sz w:val="21"/>
          <w:szCs w:val="21"/>
        </w:rPr>
        <w:t xml:space="preserve">4.  </w:t>
      </w:r>
      <w:r>
        <w:rPr>
          <w:sz w:val="21"/>
          <w:szCs w:val="21"/>
        </w:rPr>
        <w:t xml:space="preserve">Does § 501.016(5)'s exemption for studios that “collect direct payment on a monthly basis” cover our weekly Sunday-in-arrears billing? If not, can billing be restructured to qualify?</w:t>
      </w:r>
    </w:p>
    <w:p>
      <w:pPr>
        <w:spacing w:after="130"/>
        <w:ind w:left="360" w:hanging="360"/>
      </w:pPr>
      <w:r>
        <w:rPr>
          <w:b/>
          <w:bCs/>
          <w:sz w:val="21"/>
          <w:szCs w:val="21"/>
        </w:rPr>
        <w:t xml:space="preserve">5.  </w:t>
      </w:r>
      <w:r>
        <w:rPr>
          <w:sz w:val="21"/>
          <w:szCs w:val="21"/>
        </w:rPr>
        <w:t xml:space="preserve">Is a late-cancellation fee itself a “contract for future health studio services,” or a separate service charge outside the Act?</w:t>
      </w:r>
    </w:p>
    <w:p>
      <w:pPr>
        <w:spacing w:after="130"/>
        <w:ind w:left="360" w:hanging="360"/>
      </w:pPr>
      <w:r>
        <w:rPr>
          <w:b/>
          <w:bCs/>
          <w:sz w:val="21"/>
          <w:szCs w:val="21"/>
        </w:rPr>
        <w:t xml:space="preserve">6.  </w:t>
      </w:r>
      <w:r>
        <w:rPr>
          <w:sz w:val="21"/>
          <w:szCs w:val="21"/>
        </w:rPr>
        <w:t xml:space="preserve">What are the penalties for operating unregistered / unbonded in Florida, and is the consumer contract void or voidable?</w:t>
      </w:r>
    </w:p>
    <w:p>
      <w:pPr>
        <w:spacing w:after="130"/>
        <w:ind w:left="360" w:hanging="360"/>
      </w:pPr>
      <w:r>
        <w:rPr>
          <w:b/>
          <w:bCs/>
          <w:sz w:val="21"/>
          <w:szCs w:val="21"/>
        </w:rPr>
        <w:t xml:space="preserve">7.  </w:t>
      </w:r>
      <w:r>
        <w:rPr>
          <w:sz w:val="21"/>
          <w:szCs w:val="21"/>
        </w:rPr>
        <w:t xml:space="preserve">Does in-app written notice satisfy § 501.017's “written notice to the health studio” cancellation requirement?</w:t>
      </w:r>
    </w:p>
    <w:p>
      <w:pPr>
        <w:pStyle w:val="Heading1"/>
        <w:spacing w:after="120" w:before="260"/>
      </w:pPr>
      <w:r>
        <w:rPr>
          <w:b/>
          <w:bCs/>
          <w:color w:val="0E7C8A"/>
          <w:sz w:val="26"/>
          <w:szCs w:val="26"/>
        </w:rPr>
        <w:t xml:space="preserve">3.  Platform status — first-order</w:t>
      </w:r>
    </w:p>
    <w:p>
      <w:pPr>
        <w:spacing w:after="130"/>
        <w:ind w:left="360" w:hanging="360"/>
      </w:pPr>
      <w:r>
        <w:rPr>
          <w:b/>
          <w:bCs/>
          <w:sz w:val="21"/>
          <w:szCs w:val="21"/>
        </w:rPr>
        <w:t xml:space="preserve">8.  </w:t>
      </w:r>
      <w:r>
        <w:rPr>
          <w:sz w:val="21"/>
          <w:szCs w:val="21"/>
        </w:rPr>
        <w:t xml:space="preserve">Is Glide itself “engaged in the sale of services for instruction, training…” under § 501.0125 — i.e. does the platform need its own registration and bond — or does the obligation sit solely with each trainer?</w:t>
      </w:r>
    </w:p>
    <w:p>
      <w:pPr>
        <w:spacing w:after="130"/>
        <w:ind w:left="360" w:hanging="360"/>
      </w:pPr>
      <w:r>
        <w:rPr>
          <w:b/>
          <w:bCs/>
          <w:sz w:val="21"/>
          <w:szCs w:val="21"/>
        </w:rPr>
        <w:t xml:space="preserve">9.  </w:t>
      </w:r>
      <w:r>
        <w:rPr>
          <w:sz w:val="21"/>
          <w:szCs w:val="21"/>
        </w:rPr>
        <w:t xml:space="preserve">Does Glide take on liability by authoring the contract templates and consent flow that trainers rely on? Should the terms be Glide-authored, trainer-authored, or co-branded?</w:t>
      </w:r>
    </w:p>
    <w:p>
      <w:pPr>
        <w:spacing w:after="130"/>
        <w:ind w:left="360" w:hanging="360"/>
      </w:pPr>
      <w:r>
        <w:rPr>
          <w:b/>
          <w:bCs/>
          <w:sz w:val="21"/>
          <w:szCs w:val="21"/>
        </w:rPr>
        <w:t xml:space="preserve">10.  </w:t>
      </w:r>
      <w:r>
        <w:rPr>
          <w:sz w:val="21"/>
          <w:szCs w:val="21"/>
        </w:rPr>
        <w:t xml:space="preserve">Should Glide's ToS disclaim responsibility for trainers' compliance, and is such a disclaimer effective against a consumer (as opposed to against the trainer)?</w:t>
      </w:r>
    </w:p>
    <w:p>
      <w:pPr>
        <w:pStyle w:val="Heading1"/>
        <w:spacing w:after="120" w:before="260"/>
      </w:pPr>
      <w:r>
        <w:rPr>
          <w:b/>
          <w:bCs/>
          <w:color w:val="0E7C8A"/>
          <w:sz w:val="26"/>
          <w:szCs w:val="26"/>
        </w:rPr>
        <w:t xml:space="preserve">4.  Multi-state (for future non-Florida trainers / clients)</w:t>
      </w:r>
    </w:p>
    <w:p>
      <w:pPr>
        <w:spacing w:after="130"/>
        <w:ind w:left="360" w:hanging="360"/>
      </w:pPr>
      <w:r>
        <w:rPr>
          <w:b/>
          <w:bCs/>
          <w:sz w:val="21"/>
          <w:szCs w:val="21"/>
        </w:rPr>
        <w:t xml:space="preserve">11.  </w:t>
      </w:r>
      <w:r>
        <w:rPr>
          <w:sz w:val="21"/>
          <w:szCs w:val="21"/>
        </w:rPr>
        <w:t xml:space="preserve">Which states should be cleared before we let out-of-state trainers or clients use this, and should pack sales be geo-gated until each state is reviewed?</w:t>
      </w:r>
    </w:p>
    <w:p>
      <w:pPr>
        <w:spacing w:after="130"/>
        <w:ind w:left="360" w:hanging="360"/>
      </w:pPr>
      <w:r>
        <w:rPr>
          <w:b/>
          <w:bCs/>
          <w:sz w:val="21"/>
          <w:szCs w:val="21"/>
        </w:rPr>
        <w:t xml:space="preserve">12.  </w:t>
      </w:r>
      <w:r>
        <w:rPr>
          <w:sz w:val="21"/>
          <w:szCs w:val="21"/>
        </w:rPr>
        <w:t xml:space="preserve">Does California's Health Studio Services Contract Law (Civ. Code §§ 1812.80–1812.97) have a personal-trainer carve-out comparable to Florida's? (It reportedly applies to clubs “of any size.”)</w:t>
      </w:r>
    </w:p>
    <w:p>
      <w:pPr>
        <w:spacing w:after="130"/>
        <w:ind w:left="360" w:hanging="360"/>
      </w:pPr>
      <w:r>
        <w:rPr>
          <w:b/>
          <w:bCs/>
          <w:sz w:val="21"/>
          <w:szCs w:val="21"/>
        </w:rPr>
        <w:t xml:space="preserve">13.  </w:t>
      </w:r>
      <w:r>
        <w:rPr>
          <w:sz w:val="21"/>
          <w:szCs w:val="21"/>
        </w:rPr>
        <w:t xml:space="preserve">Which state auto-renewal laws apply to a weekly variable charge, and do any require click-to-cancel-style mechanics independent of the (vacated) federal rule?</w:t>
      </w:r>
    </w:p>
    <w:p>
      <w:pPr>
        <w:spacing w:after="120"/>
      </w:pPr>
      <w:r>
        <w:rPr>
          <w:b/>
          <w:bCs/>
          <w:i/>
          <w:iCs/>
          <w:sz w:val="21"/>
          <w:szCs w:val="21"/>
        </w:rPr>
        <w:t xml:space="preserve">Note — remote clients: </w:t>
      </w:r>
      <w:r>
        <w:rPr>
          <w:i/>
          <w:iCs/>
          <w:sz w:val="21"/>
          <w:szCs w:val="21"/>
        </w:rPr>
        <w:t xml:space="preserve">our clients can be virtual and reside in a different state than the trainer. Whose law governs the sale — the client's state of residence, or the trainer's? This is the single point we could not resolve and it drives our whole design.</w:t>
      </w:r>
    </w:p>
    <w:p>
      <w:pPr>
        <w:pStyle w:val="Heading1"/>
        <w:spacing w:after="120" w:before="260"/>
      </w:pPr>
      <w:r>
        <w:rPr>
          <w:b/>
          <w:bCs/>
          <w:color w:val="0E7C8A"/>
          <w:sz w:val="26"/>
          <w:szCs w:val="26"/>
        </w:rPr>
        <w:t xml:space="preserve">5.  Billing &amp; consent</w:t>
      </w:r>
    </w:p>
    <w:p>
      <w:pPr>
        <w:spacing w:after="130"/>
        <w:ind w:left="360" w:hanging="360"/>
      </w:pPr>
      <w:r>
        <w:rPr>
          <w:b/>
          <w:bCs/>
          <w:sz w:val="21"/>
          <w:szCs w:val="21"/>
        </w:rPr>
        <w:t xml:space="preserve">14.  </w:t>
      </w:r>
      <w:r>
        <w:rPr>
          <w:sz w:val="21"/>
          <w:szCs w:val="21"/>
        </w:rPr>
        <w:t xml:space="preserve">Is a conditional late-cancellation fee a “negative option feature” subject to negative-option rules, or pre-authorized one-off billing?</w:t>
      </w:r>
    </w:p>
    <w:p>
      <w:pPr>
        <w:spacing w:after="130"/>
        <w:ind w:left="360" w:hanging="360"/>
      </w:pPr>
      <w:r>
        <w:rPr>
          <w:b/>
          <w:bCs/>
          <w:sz w:val="21"/>
          <w:szCs w:val="21"/>
        </w:rPr>
        <w:t xml:space="preserve">15.  </w:t>
      </w:r>
      <w:r>
        <w:rPr>
          <w:sz w:val="21"/>
          <w:szCs w:val="21"/>
        </w:rPr>
        <w:t xml:space="preserve">Is our consent record (timestamp, IP, terms version + hash, frozen policy snapshot) sufficient to prove assent to a specific version of a specific trainer's policy?</w:t>
      </w:r>
    </w:p>
    <w:p>
      <w:pPr>
        <w:spacing w:after="130"/>
        <w:ind w:left="360" w:hanging="360"/>
      </w:pPr>
      <w:r>
        <w:rPr>
          <w:b/>
          <w:bCs/>
          <w:sz w:val="21"/>
          <w:szCs w:val="21"/>
        </w:rPr>
        <w:t xml:space="preserve">16.  </w:t>
      </w:r>
      <w:r>
        <w:rPr>
          <w:sz w:val="21"/>
          <w:szCs w:val="21"/>
        </w:rPr>
        <w:t xml:space="preserve">What must happen when a trainer changes their cancellation policy — is affirmative re-consent required for existing clients, and can prior consent cover future modified terms?</w:t>
      </w:r>
    </w:p>
    <w:p>
      <w:pPr>
        <w:spacing w:after="130"/>
        <w:ind w:left="360" w:hanging="360"/>
      </w:pPr>
      <w:r>
        <w:rPr>
          <w:b/>
          <w:bCs/>
          <w:sz w:val="21"/>
          <w:szCs w:val="21"/>
        </w:rPr>
        <w:t xml:space="preserve">17.  </w:t>
      </w:r>
      <w:r>
        <w:rPr>
          <w:sz w:val="21"/>
          <w:szCs w:val="21"/>
        </w:rPr>
        <w:t xml:space="preserve">Is there exposure in our decline → account hold → blocked-from-booking flow (e.g. debt-collection or unfair-practices characterization)?</w:t>
      </w:r>
    </w:p>
    <w:p>
      <w:pPr>
        <w:spacing w:after="130"/>
        <w:ind w:left="360" w:hanging="360"/>
      </w:pPr>
      <w:r>
        <w:rPr>
          <w:b/>
          <w:bCs/>
          <w:sz w:val="21"/>
          <w:szCs w:val="21"/>
        </w:rPr>
        <w:t xml:space="preserve">18.  </w:t>
      </w:r>
      <w:r>
        <w:rPr>
          <w:sz w:val="21"/>
          <w:szCs w:val="21"/>
        </w:rPr>
        <w:t xml:space="preserve">Are there caps on what a late-cancellation fee may be, or does a 100%-of-price fee risk being an unenforceable penalty rather than liquidated damages?</w:t>
      </w:r>
    </w:p>
    <w:p>
      <w:pPr>
        <w:pStyle w:val="Heading1"/>
        <w:spacing w:after="120" w:before="260"/>
      </w:pPr>
      <w:r>
        <w:rPr>
          <w:b/>
          <w:bCs/>
          <w:color w:val="0E7C8A"/>
          <w:sz w:val="26"/>
          <w:szCs w:val="26"/>
        </w:rPr>
        <w:t xml:space="preserve">6.  Structure / payments</w:t>
      </w:r>
    </w:p>
    <w:p>
      <w:pPr>
        <w:spacing w:after="130"/>
        <w:ind w:left="360" w:hanging="360"/>
      </w:pPr>
      <w:r>
        <w:rPr>
          <w:b/>
          <w:bCs/>
          <w:sz w:val="21"/>
          <w:szCs w:val="21"/>
        </w:rPr>
        <w:t xml:space="preserve">19.  </w:t>
      </w:r>
      <w:r>
        <w:rPr>
          <w:sz w:val="21"/>
          <w:szCs w:val="21"/>
        </w:rPr>
        <w:t xml:space="preserve">Does Stripe Connect direct charges (trainer as merchant of record) meaningfully limit Glide's liability for a trainer's cancellation practices — or only its card-network loss allocation?</w:t>
      </w:r>
    </w:p>
    <w:p>
      <w:pPr>
        <w:spacing w:after="130"/>
        <w:ind w:left="360" w:hanging="360"/>
      </w:pPr>
      <w:r>
        <w:rPr>
          <w:b/>
          <w:bCs/>
          <w:sz w:val="21"/>
          <w:szCs w:val="21"/>
        </w:rPr>
        <w:t xml:space="preserve">20.  </w:t>
      </w:r>
      <w:r>
        <w:rPr>
          <w:sz w:val="21"/>
          <w:szCs w:val="21"/>
        </w:rPr>
        <w:t xml:space="preserve">Does the Stripe Connect Platform Agreement make Glide liable for connected-account losses even under direct charges?</w:t>
      </w:r>
    </w:p>
    <w:p>
      <w:pPr>
        <w:spacing w:after="130"/>
        <w:ind w:left="360" w:hanging="360"/>
      </w:pPr>
      <w:r>
        <w:rPr>
          <w:b/>
          <w:bCs/>
          <w:sz w:val="21"/>
          <w:szCs w:val="21"/>
        </w:rPr>
        <w:t xml:space="preserve">21.  </w:t>
      </w:r>
      <w:r>
        <w:rPr>
          <w:sz w:val="21"/>
          <w:szCs w:val="21"/>
        </w:rPr>
        <w:t xml:space="preserve">Should trainers be required to carry insurance, or to indemnify Glide, as a condition of using session billing?</w:t>
      </w:r>
    </w:p>
    <w:p>
      <w:pPr>
        <w:pBdr>
          <w:bottom w:val="single" w:color="CCCCCC" w:sz="6" w:space="8"/>
        </w:pBdr>
        <w:spacing w:after="160"/>
      </w:pPr>
      <w:r>
        <w:rPr>
          <w:sz w:val="21"/>
          <w:szCs w:val="21"/>
        </w:rPr>
        <w:t xml:space="preserve"/>
      </w:r>
    </w:p>
    <w:p>
      <w:pPr>
        <w:pStyle w:val="Heading1"/>
        <w:spacing w:after="120" w:before="260"/>
      </w:pPr>
      <w:r>
        <w:rPr>
          <w:b/>
          <w:bCs/>
          <w:color w:val="0E7C8A"/>
          <w:sz w:val="26"/>
          <w:szCs w:val="26"/>
        </w:rPr>
        <w:t xml:space="preserve">7.  Primary sources</w:t>
      </w:r>
    </w:p>
    <w:p>
      <w:pPr>
        <w:spacing w:after="120"/>
      </w:pPr>
      <w:r>
        <w:rPr>
          <w:b/>
          <w:bCs/>
          <w:sz w:val="21"/>
          <w:szCs w:val="21"/>
        </w:rPr>
        <w:t xml:space="preserve">Florida (primary):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0"/>
          <w:szCs w:val="20"/>
        </w:rPr>
        <w:t xml:space="preserve">Fla. Stat. § 501.0125 — </w:t>
      </w:r>
      <w:hyperlink w:history="1" r:id="rId6l5vq2kjr5yofggopf4lo">
        <w:r>
          <w:rPr>
            <w:rStyle w:val="Hyperlink"/>
            <w:sz w:val="20"/>
            <w:szCs w:val="20"/>
          </w:rPr>
          <w:t xml:space="preserve">https://www.flsenate.gov/Laws/Statutes/2025/501.0125</w:t>
        </w:r>
      </w:hyperlink>
    </w:p>
    <w:p>
      <w:pPr>
        <w:pStyle w:val="ListParagraph"/>
        <w:numPr>
          <w:ilvl w:val="0"/>
          <w:numId w:val="1"/>
        </w:numPr>
        <w:spacing w:after="60"/>
      </w:pPr>
      <w:r>
        <w:rPr>
          <w:sz w:val="20"/>
          <w:szCs w:val="20"/>
        </w:rPr>
        <w:t xml:space="preserve">Fla. Stat. § 501.015 — </w:t>
      </w:r>
      <w:hyperlink w:history="1" r:id="rId2y9jrbluce-nh720dpwl_">
        <w:r>
          <w:rPr>
            <w:rStyle w:val="Hyperlink"/>
            <w:sz w:val="20"/>
            <w:szCs w:val="20"/>
          </w:rPr>
          <w:t xml:space="preserve">https://www.flsenate.gov/Laws/Statutes/2025/501.015</w:t>
        </w:r>
      </w:hyperlink>
    </w:p>
    <w:p>
      <w:pPr>
        <w:pStyle w:val="ListParagraph"/>
        <w:numPr>
          <w:ilvl w:val="0"/>
          <w:numId w:val="1"/>
        </w:numPr>
        <w:spacing w:after="60"/>
      </w:pPr>
      <w:r>
        <w:rPr>
          <w:sz w:val="20"/>
          <w:szCs w:val="20"/>
        </w:rPr>
        <w:t xml:space="preserve">Fla. Stat. § 501.016 — </w:t>
      </w:r>
      <w:hyperlink w:history="1" r:id="rIdyjg7aczup75bogchtt1am">
        <w:r>
          <w:rPr>
            <w:rStyle w:val="Hyperlink"/>
            <w:sz w:val="20"/>
            <w:szCs w:val="20"/>
          </w:rPr>
          <w:t xml:space="preserve">https://www.flsenate.gov/Laws/Statutes/2025/501.016</w:t>
        </w:r>
      </w:hyperlink>
    </w:p>
    <w:p>
      <w:pPr>
        <w:pStyle w:val="ListParagraph"/>
        <w:numPr>
          <w:ilvl w:val="0"/>
          <w:numId w:val="1"/>
        </w:numPr>
        <w:spacing w:after="60"/>
      </w:pPr>
      <w:r>
        <w:rPr>
          <w:sz w:val="20"/>
          <w:szCs w:val="20"/>
        </w:rPr>
        <w:t xml:space="preserve">Fla. Stat. § 501.017 — </w:t>
      </w:r>
      <w:hyperlink w:history="1" r:id="rIdntych5c_gfukric1nr3r9">
        <w:r>
          <w:rPr>
            <w:rStyle w:val="Hyperlink"/>
            <w:sz w:val="20"/>
            <w:szCs w:val="20"/>
          </w:rPr>
          <w:t xml:space="preserve">https://www.leg.state.fl.us/statutes/index.cfm?App_mode=Display_Statute&amp;URL=0500-0599/0501/Sections/0501.017.html</w:t>
        </w:r>
      </w:hyperlink>
    </w:p>
    <w:p>
      <w:pPr>
        <w:pStyle w:val="ListParagraph"/>
        <w:numPr>
          <w:ilvl w:val="0"/>
          <w:numId w:val="1"/>
        </w:numPr>
        <w:spacing w:after="60"/>
      </w:pPr>
      <w:r>
        <w:rPr>
          <w:sz w:val="20"/>
          <w:szCs w:val="20"/>
        </w:rPr>
        <w:t xml:space="preserve">FDACS Health Studio Registration Application Guide (PDF) — </w:t>
      </w:r>
      <w:hyperlink w:history="1" r:id="rIdjphzi1owfhdzq1rlpkp3f">
        <w:r>
          <w:rPr>
            <w:rStyle w:val="Hyperlink"/>
            <w:sz w:val="20"/>
            <w:szCs w:val="20"/>
          </w:rPr>
          <w:t xml:space="preserve">https://ccmedia.fdacs.gov/content/download/116042/file/Health-Studio-Registration-Application-Guide.pdf</w:t>
        </w:r>
      </w:hyperlink>
    </w:p>
    <w:p>
      <w:pPr>
        <w:spacing w:after="120"/>
      </w:pPr>
      <w:r>
        <w:rPr>
          <w:b/>
          <w:bCs/>
          <w:sz w:val="21"/>
          <w:szCs w:val="21"/>
        </w:rPr>
        <w:t xml:space="preserve">California: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0"/>
          <w:szCs w:val="20"/>
        </w:rPr>
        <w:t xml:space="preserve">CA DCA Legal Guide W-10 — </w:t>
      </w:r>
      <w:hyperlink w:history="1" r:id="rIdi-yeoinmq6gs7tcqdmvse">
        <w:r>
          <w:rPr>
            <w:rStyle w:val="Hyperlink"/>
            <w:sz w:val="20"/>
            <w:szCs w:val="20"/>
          </w:rPr>
          <w:t xml:space="preserve">https://www.dca.ca.gov/publications/legal_guides/w_10.shtml</w:t>
        </w:r>
      </w:hyperlink>
    </w:p>
    <w:p>
      <w:pPr>
        <w:pStyle w:val="ListParagraph"/>
        <w:numPr>
          <w:ilvl w:val="0"/>
          <w:numId w:val="1"/>
        </w:numPr>
        <w:spacing w:after="60"/>
      </w:pPr>
      <w:r>
        <w:rPr>
          <w:sz w:val="20"/>
          <w:szCs w:val="20"/>
        </w:rPr>
        <w:t xml:space="preserve">Cal. Civ. Code Title 2.5 (2025) — </w:t>
      </w:r>
      <w:hyperlink w:history="1" r:id="rIdoh98lte_9sl-lvjc_5tn_">
        <w:r>
          <w:rPr>
            <w:rStyle w:val="Hyperlink"/>
            <w:sz w:val="20"/>
            <w:szCs w:val="20"/>
          </w:rPr>
          <w:t xml:space="preserve">https://law.justia.com/codes/california/code-civ/division-3/part-4/title-2-5/</w:t>
        </w:r>
      </w:hyperlink>
    </w:p>
    <w:p>
      <w:pPr>
        <w:spacing w:after="120"/>
      </w:pPr>
      <w:r>
        <w:rPr>
          <w:b/>
          <w:bCs/>
          <w:sz w:val="21"/>
          <w:szCs w:val="21"/>
        </w:rPr>
        <w:t xml:space="preserve">Federal / payments: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0"/>
          <w:szCs w:val="20"/>
        </w:rPr>
        <w:t xml:space="preserve">15 U.S.C. § 8403 (ROSCA) — </w:t>
      </w:r>
      <w:hyperlink w:history="1" r:id="rId-6stjvxtcvhsjttatlsso">
        <w:r>
          <w:rPr>
            <w:rStyle w:val="Hyperlink"/>
            <w:sz w:val="20"/>
            <w:szCs w:val="20"/>
          </w:rPr>
          <w:t xml:space="preserve">https://www.law.cornell.edu/uscode/text/15/8403</w:t>
        </w:r>
      </w:hyperlink>
    </w:p>
    <w:p>
      <w:pPr>
        <w:pStyle w:val="ListParagraph"/>
        <w:numPr>
          <w:ilvl w:val="0"/>
          <w:numId w:val="1"/>
        </w:numPr>
        <w:spacing w:after="60"/>
      </w:pPr>
      <w:r>
        <w:rPr>
          <w:sz w:val="20"/>
          <w:szCs w:val="20"/>
        </w:rPr>
        <w:t xml:space="preserve">Stripe — Merchant of record in Connect — </w:t>
      </w:r>
      <w:hyperlink w:history="1" r:id="rIdcw7w8lcblutxsfn2o0lha">
        <w:r>
          <w:rPr>
            <w:rStyle w:val="Hyperlink"/>
            <w:sz w:val="20"/>
            <w:szCs w:val="20"/>
          </w:rPr>
          <w:t xml:space="preserve">https://docs.stripe.com/connect/merchant-of-record</w:t>
        </w:r>
      </w:hyperlink>
    </w:p>
    <w:p>
      <w:pPr>
        <w:pStyle w:val="ListParagraph"/>
        <w:numPr>
          <w:ilvl w:val="0"/>
          <w:numId w:val="1"/>
        </w:numPr>
        <w:spacing w:after="60"/>
      </w:pPr>
      <w:r>
        <w:rPr>
          <w:sz w:val="20"/>
          <w:szCs w:val="20"/>
        </w:rPr>
        <w:t xml:space="preserve">Stripe — Disputes on Connect platforms — </w:t>
      </w:r>
      <w:hyperlink w:history="1" r:id="rIdtsm_wofifgkdponjvhkbt">
        <w:r>
          <w:rPr>
            <w:rStyle w:val="Hyperlink"/>
            <w:sz w:val="20"/>
            <w:szCs w:val="20"/>
          </w:rPr>
          <w:t xml:space="preserve">https://docs.stripe.com/connect/disputes</w:t>
        </w:r>
      </w:hyperlink>
    </w:p>
    <w:p>
      <w:pPr>
        <w:pStyle w:val="ListParagraph"/>
        <w:numPr>
          <w:ilvl w:val="0"/>
          <w:numId w:val="1"/>
        </w:numPr>
        <w:spacing w:after="60"/>
      </w:pPr>
      <w:r>
        <w:rPr>
          <w:sz w:val="20"/>
          <w:szCs w:val="20"/>
        </w:rPr>
        <w:t xml:space="preserve">Visa Compelling Evidence 3.0 (PDF) — </w:t>
      </w:r>
      <w:hyperlink w:history="1" r:id="rIdswqm2stoa6lkkij7exsyw">
        <w:r>
          <w:rPr>
            <w:rStyle w:val="Hyperlink"/>
            <w:sz w:val="20"/>
            <w:szCs w:val="20"/>
          </w:rPr>
          <w:t xml:space="preserve">https://usa.visa.com/content/dam/VCOM/regional/na/us/support-legal/documents/compelling-evidence-3.0-merchant-readiness-mar2023.pdf</w:t>
        </w:r>
      </w:hyperlink>
    </w:p>
    <w:p>
      <w:pPr>
        <w:pBdr>
          <w:bottom w:val="single" w:color="CCCCCC" w:sz="6" w:space="8"/>
        </w:pBdr>
        <w:spacing w:after="160"/>
      </w:pPr>
      <w:r>
        <w:rPr>
          <w:sz w:val="21"/>
          <w:szCs w:val="21"/>
        </w:rPr>
        <w:t xml:space="preserve"/>
      </w:r>
    </w:p>
    <w:p>
      <w:pPr>
        <w:spacing w:before="120"/>
      </w:pPr>
      <w:r>
        <w:rPr>
          <w:i/>
          <w:iCs/>
          <w:color w:val="777777"/>
          <w:sz w:val="18"/>
          <w:szCs w:val="18"/>
        </w:rPr>
        <w:t xml:space="preserve">This document contains research findings and questions only. It is not legal advice and was prepared with AI assistance from primary sources; please verify independently.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6l5vq2kjr5yofggopf4lo" Type="http://schemas.openxmlformats.org/officeDocument/2006/relationships/hyperlink" Target="https://www.flsenate.gov/Laws/Statutes/2025/501.0125" TargetMode="External"/><Relationship Id="rId2y9jrbluce-nh720dpwl_" Type="http://schemas.openxmlformats.org/officeDocument/2006/relationships/hyperlink" Target="https://www.flsenate.gov/Laws/Statutes/2025/501.015" TargetMode="External"/><Relationship Id="rIdyjg7aczup75bogchtt1am" Type="http://schemas.openxmlformats.org/officeDocument/2006/relationships/hyperlink" Target="https://www.flsenate.gov/Laws/Statutes/2025/501.016" TargetMode="External"/><Relationship Id="rIdntych5c_gfukric1nr3r9" Type="http://schemas.openxmlformats.org/officeDocument/2006/relationships/hyperlink" Target="https://www.leg.state.fl.us/statutes/index.cfm?App_mode=Display_Statute&amp;URL=0500-0599/0501/Sections/0501.017.html" TargetMode="External"/><Relationship Id="rIdjphzi1owfhdzq1rlpkp3f" Type="http://schemas.openxmlformats.org/officeDocument/2006/relationships/hyperlink" Target="https://ccmedia.fdacs.gov/content/download/116042/file/Health-Studio-Registration-Application-Guide.pdf" TargetMode="External"/><Relationship Id="rIdi-yeoinmq6gs7tcqdmvse" Type="http://schemas.openxmlformats.org/officeDocument/2006/relationships/hyperlink" Target="https://www.dca.ca.gov/publications/legal_guides/w_10.shtml" TargetMode="External"/><Relationship Id="rIdoh98lte_9sl-lvjc_5tn_" Type="http://schemas.openxmlformats.org/officeDocument/2006/relationships/hyperlink" Target="https://law.justia.com/codes/california/code-civ/division-3/part-4/title-2-5/" TargetMode="External"/><Relationship Id="rId-6stjvxtcvhsjttatlsso" Type="http://schemas.openxmlformats.org/officeDocument/2006/relationships/hyperlink" Target="https://www.law.cornell.edu/uscode/text/15/8403" TargetMode="External"/><Relationship Id="rIdcw7w8lcblutxsfn2o0lha" Type="http://schemas.openxmlformats.org/officeDocument/2006/relationships/hyperlink" Target="https://docs.stripe.com/connect/merchant-of-record" TargetMode="External"/><Relationship Id="rIdtsm_wofifgkdponjvhkbt" Type="http://schemas.openxmlformats.org/officeDocument/2006/relationships/hyperlink" Target="https://docs.stripe.com/connect/disputes" TargetMode="External"/><Relationship Id="rIdswqm2stoa6lkkij7exsyw" Type="http://schemas.openxmlformats.org/officeDocument/2006/relationships/hyperlink" Target="https://usa.visa.com/content/dam/VCOM/regional/na/us/support-legal/documents/compelling-evidence-3.0-merchant-readiness-mar2023.pdf" TargetMode="External"/><Relationship Id="rId1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Legal review request — trainer session billing</dc:title>
  <dc:creator>Glide / Smooth Training</dc:creator>
  <cp:lastModifiedBy>Un-named</cp:lastModifiedBy>
  <cp:revision>1</cp:revision>
  <dcterms:created xsi:type="dcterms:W3CDTF">2026-07-21T16:41:20.353Z</dcterms:created>
  <dcterms:modified xsi:type="dcterms:W3CDTF">2026-07-21T16:41:20.353Z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