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p>
      <w:r>
        <w:pict>
          <v:rect style="width:0;height:1.5pt" o:hralign="center" o:hrstd="t" o:hr="t"/>
        </w:pict>
      </w:r>
    </w:p>
    <w:bookmarkEnd w:id="18"/>
    <w:bookmarkStart w:id="74" w:name="future-use-cases-strategic-opportunities"/>
    <w:p>
      <w:pPr>
        <w:pStyle w:val="Heading1"/>
        <w:keepNext/>
        <w:keepLines/>
      </w:pPr>
      <w:r>
        <w:rPr>
          <w:color w:val="FF5F00"/>
        </w:rPr>
        <w:t xml:space="preserve">FUTURE USE CASES &amp; STRATEGIC OPPORTUNITIES</w:t>
      </w:r>
    </w:p>
    <w:p>
      <w:r>
        <w:pict>
          <v:rect style="width:0;height:1.5pt" o:hralign="center" o:hrstd="t" o:hr="t"/>
        </w:pict>
      </w:r>
    </w:p>
    <w:bookmarkStart w:id="21" w:name="cover-sheet"/>
    <w:p>
      <w:pPr>
        <w:pStyle w:val="Heading2"/>
        <w:pageBreakBefore/>
        <w:keepNext/>
        <w:keepLines/>
      </w:pPr>
      <w:r>
        <w:rPr>
          <w:color w:val="FF5F00"/>
        </w:rPr>
        <w:t xml:space="preserve">COVER SHEET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Document Title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Future Use Cases &amp; Strategic Opportunities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 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09-MCMAP_Future_Use_Cases.md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January 24, 2026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Leadership, Strategy Teams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Development Team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document-purpose"/>
    <w:p>
      <w:pPr>
        <w:pStyle w:val="Heading3"/>
        <w:keepNext/>
        <w:keepLines/>
      </w:pPr>
      <w:r>
        <w:rPr>
          <w:color w:val="FF5F00"/>
        </w:rPr>
        <w:t xml:space="preserve">Document Purpose</w:t>
      </w:r>
    </w:p>
    <w:p>
      <w:pPr>
        <w:pStyle w:val="FirstParagraph"/>
      </w:pPr>
      <w:r>
        <w:t xml:space="preserve">This document outlines how MCMAP’s agentic AI architecture positions Mastercard to capture significant revenue opportunities across Advisors &amp; Consulting Services, Network/Payments, Analytics/Risk, Marketing/Loyalty, Data Services, and Internal Operations. Each use case explicitly identifies how AI agents drive the opportunity.</w:t>
      </w:r>
    </w:p>
    <w:bookmarkEnd w:id="19"/>
    <w:bookmarkStart w:id="20" w:name="intended-audience"/>
    <w:p>
      <w:pPr>
        <w:pStyle w:val="Heading3"/>
        <w:keepNext/>
        <w:keepLines/>
      </w:pPr>
      <w:r>
        <w:rPr>
          <w:color w:val="FF5F00"/>
        </w:rPr>
        <w:t xml:space="preserve">Intended Audience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43"/>
        <w:gridCol w:w="447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Audience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Focus Areas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C-Suite Executives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Revenue bands, strategic positioning, competitive moats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Unit Leaders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 pathways, efficiency gains, time-to-value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Strategy &amp;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Roadmap alignment, investment priorities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a460b5d132faa5acf0d16f8f9c27974d0470e">
        <w:r>
          <w:rPr>
            <w:rStyle w:val="Hyperlink"/>
          </w:rPr>
          <w:t xml:space="preserve">MCMAP as Strategic Foundation</w:t>
        </w:r>
      </w:hyperlink>
    </w:p>
    <w:p>
      <w:pPr>
        <w:pStyle w:val="Compact"/>
        <w:numPr>
          <w:ilvl w:val="0"/>
          <w:numId w:val="1001"/>
        </w:numPr>
      </w:pPr>
      <w:hyperlink w:anchor="Xf984493e66ad287611ecb27c02b2f5f6c0ef70a">
        <w:r>
          <w:rPr>
            <w:rStyle w:val="Hyperlink"/>
          </w:rPr>
          <w:t xml:space="preserve">Top 10 Advisors &amp; Consulting Opportunities</w:t>
        </w:r>
      </w:hyperlink>
    </w:p>
    <w:p>
      <w:pPr>
        <w:pStyle w:val="Compact"/>
        <w:numPr>
          <w:ilvl w:val="0"/>
          <w:numId w:val="1001"/>
        </w:numPr>
      </w:pPr>
      <w:hyperlink w:anchor="Xdc36067853728abb1a32336ba1a53997e2ba72a">
        <w:r>
          <w:rPr>
            <w:rStyle w:val="Hyperlink"/>
          </w:rPr>
          <w:t xml:space="preserve">Network &amp; Payments Opportunities</w:t>
        </w:r>
      </w:hyperlink>
    </w:p>
    <w:p>
      <w:pPr>
        <w:pStyle w:val="Compact"/>
        <w:numPr>
          <w:ilvl w:val="0"/>
          <w:numId w:val="1001"/>
        </w:numPr>
      </w:pPr>
      <w:hyperlink w:anchor="X4fc9099c16e7288df1925a328530c8628f574eb">
        <w:r>
          <w:rPr>
            <w:rStyle w:val="Hyperlink"/>
          </w:rPr>
          <w:t xml:space="preserve">Analytics &amp; Risk Platform Opportunities</w:t>
        </w:r>
      </w:hyperlink>
    </w:p>
    <w:p>
      <w:pPr>
        <w:pStyle w:val="Compact"/>
        <w:numPr>
          <w:ilvl w:val="0"/>
          <w:numId w:val="1001"/>
        </w:numPr>
      </w:pPr>
      <w:hyperlink w:anchor="X3ec7690e1a64c11d6d9c0159d49deddf95ae0bc">
        <w:r>
          <w:rPr>
            <w:rStyle w:val="Hyperlink"/>
          </w:rPr>
          <w:t xml:space="preserve">Marketing, Advertising &amp; Loyalty Opportunities</w:t>
        </w:r>
      </w:hyperlink>
    </w:p>
    <w:p>
      <w:pPr>
        <w:pStyle w:val="Compact"/>
        <w:numPr>
          <w:ilvl w:val="0"/>
          <w:numId w:val="1001"/>
        </w:numPr>
      </w:pPr>
      <w:hyperlink w:anchor="X0787f14d0fd7686b872ba0aa80a60bda401b629">
        <w:r>
          <w:rPr>
            <w:rStyle w:val="Hyperlink"/>
          </w:rPr>
          <w:t xml:space="preserve">Data Services &amp; Open Banking Opportunities</w:t>
        </w:r>
      </w:hyperlink>
    </w:p>
    <w:p>
      <w:pPr>
        <w:pStyle w:val="Compact"/>
        <w:numPr>
          <w:ilvl w:val="0"/>
          <w:numId w:val="1001"/>
        </w:numPr>
      </w:pPr>
      <w:hyperlink w:anchor="X4fd666464d7f9cdaead539206ac211cdb85cbea">
        <w:r>
          <w:rPr>
            <w:rStyle w:val="Hyperlink"/>
          </w:rPr>
          <w:t xml:space="preserve">Internal Efficiency Opportunities</w:t>
        </w:r>
      </w:hyperlink>
    </w:p>
    <w:p>
      <w:pPr>
        <w:pStyle w:val="Compact"/>
        <w:numPr>
          <w:ilvl w:val="0"/>
          <w:numId w:val="1001"/>
        </w:numPr>
      </w:pPr>
      <w:hyperlink w:anchor="X6ab1ae1dd390dd7a983757a9fd8ca9e2b47f75c">
        <w:r>
          <w:rPr>
            <w:rStyle w:val="Hyperlink"/>
          </w:rPr>
          <w:t xml:space="preserve">Implementation Roadmap</w:t>
        </w:r>
      </w:hyperlink>
    </w:p>
    <w:p>
      <w:pPr>
        <w:pStyle w:val="Compact"/>
        <w:numPr>
          <w:ilvl w:val="0"/>
          <w:numId w:val="1001"/>
        </w:numPr>
      </w:pPr>
      <w:hyperlink w:anchor="X34073b70ba3da35109f6d5916e244568c27135b">
        <w:r>
          <w:rPr>
            <w:rStyle w:val="Hyperlink"/>
          </w:rPr>
          <w:t xml:space="preserve">Strategic Summary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6" w:name="executive-summary"/>
    <w:p>
      <w:pPr>
        <w:pStyle w:val="Heading2"/>
        <w:pageBreakBefore/>
        <w:keepNext/>
        <w:keepLines/>
      </w:pPr>
      <w:r>
        <w:rPr>
          <w:color w:val="FF5F00"/>
        </w:rPr>
        <w:t xml:space="preserve">1. EXECUTIVE SUMMARY</w:t>
      </w:r>
    </w:p>
    <w:bookmarkStart w:id="23" w:name="the-opportunity"/>
    <w:p>
      <w:pPr>
        <w:pStyle w:val="Heading3"/>
        <w:keepNext/>
        <w:keepLines/>
      </w:pPr>
      <w:r>
        <w:rPr>
          <w:color w:val="FF5F00"/>
        </w:rPr>
        <w:t xml:space="preserve">The Opportunity</w:t>
      </w:r>
    </w:p>
    <w:p>
      <w:pPr>
        <w:pStyle w:val="FirstParagraph"/>
      </w:pPr>
      <w:r>
        <w:t xml:space="preserve">MCMAP demonstrates that enterprise AI agents can be built rapidly, deployed securely within Mastercard’s DLP-compliant environment, and deliver immediate business value. The same architectural patterns that power media planning can be extended to capture</w:t>
      </w:r>
      <w:r>
        <w:t xml:space="preserve"> </w:t>
      </w:r>
      <w:r>
        <w:rPr>
          <w:b/>
          <w:bCs/>
        </w:rPr>
        <w:t xml:space="preserve">significant revenue opportunity</w:t>
      </w:r>
      <w:r>
        <w:t xml:space="preserve"> </w:t>
      </w:r>
      <w:r>
        <w:t xml:space="preserve">across Mastercard’s service portfolio.</w:t>
      </w:r>
    </w:p>
    <w:bookmarkEnd w:id="23"/>
    <w:bookmarkStart w:id="24" w:name="key-insight"/>
    <w:p>
      <w:pPr>
        <w:pStyle w:val="Heading3"/>
        <w:keepNext/>
        <w:keepLines/>
      </w:pPr>
      <w:r>
        <w:rPr>
          <w:color w:val="FF5F00"/>
        </w:rPr>
        <w:t xml:space="preserve">Key Insight</w:t>
      </w:r>
    </w:p>
    <w:p>
      <w:pPr>
        <w:pStyle w:val="FirstParagraph"/>
      </w:pPr>
      <w:r>
        <w:t xml:space="preserve">MCMAP is not a media planning tool.</w:t>
      </w:r>
      <w:r>
        <w:t xml:space="preserve"> </w:t>
      </w:r>
      <w:r>
        <w:rPr>
          <w:b/>
          <w:bCs/>
        </w:rPr>
        <w:t xml:space="preserve">It is an enterprise AI platform</w:t>
      </w:r>
      <w:r>
        <w:t xml:space="preserve"> </w:t>
      </w:r>
      <w:r>
        <w:t xml:space="preserve">that transforms how Mastercard builds, deploys, and scales intelligent agents. Media planning is the first proof of concept - the architecture supports agents for fraud, treasury, marketing, consulting, sales enablement, and any domain where expertise can be encoded.</w:t>
      </w:r>
    </w:p>
    <w:bookmarkEnd w:id="24"/>
    <w:bookmarkStart w:id="25" w:name="revenue-impact-summary"/>
    <w:p>
      <w:pPr>
        <w:pStyle w:val="Heading3"/>
        <w:keepNext/>
        <w:keepLines/>
      </w:pPr>
      <w:r>
        <w:rPr>
          <w:color w:val="FF5F00"/>
        </w:rPr>
        <w:t xml:space="preserve">Revenue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31"/>
        <w:gridCol w:w="3670"/>
        <w:gridCol w:w="231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Opportunity Scale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Role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&amp;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implementation practice, AI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Network &amp; Payments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Agentic commerce, cognitive routing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&amp; Risk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Autonomous fraud defense, risk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&amp; Loyalty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Commerce media, personalization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Services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 Efficiency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Significant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mcmap-as-strategic-foundation"/>
    <w:p>
      <w:pPr>
        <w:pStyle w:val="Heading2"/>
        <w:pageBreakBefore/>
        <w:keepNext/>
        <w:keepLines/>
      </w:pPr>
      <w:r>
        <w:rPr>
          <w:color w:val="FF5F00"/>
        </w:rPr>
        <w:t xml:space="preserve">2. MCMAP AS STRATEGIC FOUNDATION</w:t>
      </w:r>
    </w:p>
    <w:bookmarkStart w:id="27" w:name="X92d9468ef694fac0e6da18c8c0bfafc594d09cf"/>
    <w:p>
      <w:pPr>
        <w:pStyle w:val="Heading3"/>
        <w:keepNext/>
        <w:keepLines/>
      </w:pPr>
      <w:r>
        <w:rPr>
          <w:color w:val="FF5F00"/>
        </w:rPr>
        <w:t xml:space="preserve">Why MCMAP Matters for These Opportunities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87"/>
        <w:gridCol w:w="413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Traditional Approach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MCMAP-Enabled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Isolated point solutions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 cost per deployment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Siloed expertise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7"/>
    <w:bookmarkStart w:id="28" w:name="architecture-advantages"/>
    <w:p>
      <w:pPr>
        <w:pStyle w:val="Heading3"/>
        <w:keepNext/>
        <w:keepLines/>
      </w:pPr>
      <w:r>
        <w:rPr>
          <w:color w:val="FF5F00"/>
        </w:rPr>
        <w:t xml:space="preserve">Architecture Advantages</w:t>
      </w:r>
    </w:p>
    <w:p>
      <w:pPr>
        <w:pStyle w:val="FirstParagraph"/>
      </w:pPr>
      <w: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  <w:r>
        <w:t xml:space="preserve"> </w:t>
      </w:r>
      <w:r>
        <w:t xml:space="preserve">- Orchestration (ORC)</w:t>
      </w:r>
      <w:r>
        <w:t xml:space="preserve"> </w:t>
      </w:r>
      <w:r>
        <w:t xml:space="preserve">- Capability Abstraction Layer</w:t>
      </w:r>
      <w:r>
        <w:t xml:space="preserve"> </w:t>
      </w:r>
      <w:r>
        <w:t xml:space="preserve">- Session &amp; Memory Management</w:t>
      </w:r>
      <w:r>
        <w:t xml:space="preserve"> </w:t>
      </w:r>
      <w:r>
        <w:t xml:space="preserve">- Security &amp; Compliance Controls</w:t>
      </w:r>
    </w:p>
    <w:p>
      <w:pPr>
        <w:pStyle w:val="BodyText"/>
      </w:pPr>
      <w:r>
        <w:rPr>
          <w:b/>
          <w:bCs/>
        </w:rPr>
        <w:t xml:space="preserve">Extensibility Patterns</w:t>
      </w:r>
      <w:r>
        <w:t xml:space="preserve"> </w:t>
      </w:r>
      <w:r>
        <w:t xml:space="preserve">- Configuration-driven expansion</w:t>
      </w:r>
      <w:r>
        <w:t xml:space="preserve"> </w:t>
      </w:r>
      <w:r>
        <w:t xml:space="preserve">- Knowledge base modularity</w:t>
      </w:r>
      <w:r>
        <w:t xml:space="preserve"> </w:t>
      </w:r>
      <w:r>
        <w:t xml:space="preserve">- AI Builder prompt templates</w:t>
      </w:r>
      <w:r>
        <w:t xml:space="preserve"> </w:t>
      </w:r>
      <w:r>
        <w:t xml:space="preserve">- Registry-based capabilities</w:t>
      </w:r>
    </w:p>
    <w:p>
      <w:pPr>
        <w:pStyle w:val="BodyText"/>
      </w:pPr>
      <w:r>
        <w:rPr>
          <w:b/>
          <w:bCs/>
        </w:rPr>
        <w:t xml:space="preserve">Enterprise Readiness</w:t>
      </w:r>
      <w:r>
        <w:t xml:space="preserve"> </w:t>
      </w:r>
      <w:r>
        <w:t xml:space="preserve">- DLP-compliant connectors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Audit logging &amp; telemetry</w:t>
      </w:r>
      <w:r>
        <w:t xml:space="preserve"> </w:t>
      </w:r>
      <w:r>
        <w:t xml:space="preserve">- Multi-environment support</w:t>
      </w:r>
    </w:p>
    <w:bookmarkEnd w:id="28"/>
    <w:bookmarkStart w:id="29" w:name="the-agent-factory-model"/>
    <w:p>
      <w:pPr>
        <w:pStyle w:val="Heading3"/>
        <w:keepNext/>
        <w:keepLines/>
      </w:pPr>
      <w:r>
        <w:rPr>
          <w:color w:val="FF5F00"/>
        </w:rPr>
        <w:t xml:space="preserve">The</w:t>
      </w:r>
      <w:r>
        <w:rPr>
          <w:color w:val="FF5F00"/>
        </w:rPr>
        <w:t xml:space="preserve"> </w:t>
      </w:r>
      <w:r>
        <w:rPr>
          <w:color w:val="FF5F00"/>
        </w:rPr>
        <w:t xml:space="preserve">“Agent Factory”</w:t>
      </w:r>
      <w:r>
        <w:rPr>
          <w:color w:val="FF5F00"/>
        </w:rPr>
        <w:t xml:space="preserve"> </w:t>
      </w:r>
      <w:r>
        <w:rPr>
          <w:color w:val="FF5F00"/>
        </w:rP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</w:t>
      </w:r>
      <w:r>
        <w:t xml:space="preserve"> </w:t>
      </w:r>
      <w:r>
        <w:rPr>
          <w:b/>
          <w:bCs/>
        </w:rPr>
        <w:t xml:space="preserve">agent factory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Once</w:t>
      </w:r>
      <w:r>
        <w:t xml:space="preserve">: Core infrastructure serves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Many</w:t>
      </w:r>
      <w:r>
        <w:t xml:space="preserve">: Each new agent leverages existing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 Efficiently</w:t>
      </w:r>
      <w:r>
        <w:t xml:space="preserve">: Marginal cost decreases per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Maintain Centrally</w:t>
      </w:r>
      <w:r>
        <w:t xml:space="preserve">: Updates propagate across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 Consistently</w:t>
      </w:r>
      <w:r>
        <w:t xml:space="preserve">: Security and compliance built in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1" w:name="top-10-advisors-consulting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3. TOP 10 ADVISORS &amp; CONSULTING OPPORTUNITIES</w:t>
      </w:r>
    </w:p>
    <w:bookmarkStart w:id="31" w:name="X772a39bbcd0eebd72664fa3a47cabc9aa5479fa"/>
    <w:p>
      <w:pPr>
        <w:pStyle w:val="Heading3"/>
        <w:keepNext/>
        <w:keepLines/>
      </w:pPr>
      <w:r>
        <w:rPr>
          <w:color w:val="FF5F00"/>
        </w:rPr>
        <w:t xml:space="preserve">3.1 AI Agent Implementation &amp; Transformation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lead clients through identifying, designing, and deploying agents (fraud, CX, ops, marketing) on top of Mastercard platforms, turning scattered use cases into an integrated agentic operating model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provides the reference architecture and proven patterns that advisors bring to clients</w:t>
            </w:r>
          </w:p>
        </w:tc>
      </w:tr>
    </w:tbl>
    <w:bookmarkEnd w:id="31"/>
    <w:bookmarkStart w:id="32" w:name="Xe1a3333ba4711d9a7f73e89226ec26303334291"/>
    <w:p>
      <w:pPr>
        <w:pStyle w:val="Heading3"/>
        <w:keepNext/>
        <w:keepLines/>
      </w:pPr>
      <w:r>
        <w:rPr>
          <w:color w:val="FF5F00"/>
        </w:rPr>
        <w:t xml:space="preserve">3.2 AI &amp; Advanced Analytics Consulting (Data Strategy + AI Ops)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define data foundations and MLOps patterns so clients can safely run large fleets of agents (risk agents, personalization agents) and keep models updated and governed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shared infrastructure demonstrates enterprise-grade MLOps patterns</w:t>
            </w:r>
          </w:p>
        </w:tc>
      </w:tr>
    </w:tbl>
    <w:bookmarkEnd w:id="32"/>
    <w:bookmarkStart w:id="33" w:name="X949c11394cb38b858b78979f24beb6daf0aa4fb"/>
    <w:p>
      <w:pPr>
        <w:pStyle w:val="Heading3"/>
        <w:keepNext/>
        <w:keepLines/>
      </w:pPr>
      <w:r>
        <w:rPr>
          <w:color w:val="FF5F00"/>
        </w:rPr>
        <w:t xml:space="preserve">3.3 Commerce Media &amp; Data Monetization Strategy Consulting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design AI-driven audience models, bidding/optimization agents, and closed-loop measurement based on Mastercard Commerce Media and transaction data, turning banks/retailers into media businesses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agent patterns for segmentation; ANL for measurement</w:t>
            </w:r>
          </w:p>
        </w:tc>
      </w:tr>
    </w:tbl>
    <w:bookmarkEnd w:id="33"/>
    <w:bookmarkStart w:id="34" w:name="X7544190279d00987203a1d3410e918a420a9f42"/>
    <w:p>
      <w:pPr>
        <w:pStyle w:val="Heading3"/>
        <w:keepNext/>
        <w:keepLines/>
      </w:pPr>
      <w:r>
        <w:rPr>
          <w:color w:val="FF5F00"/>
        </w:rPr>
        <w:t xml:space="preserve">3.4 Issuer &amp; Acquirer Portfolio Optimization (Test &amp; Learn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automatically design and run Test &amp; Learn experiments on pricing, rewards, and product constructs, continuously suggesting new tests and portfolio changes that maximize profit per customer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agent provides attribution and testing patterns</w:t>
            </w:r>
          </w:p>
        </w:tc>
      </w:tr>
    </w:tbl>
    <w:bookmarkEnd w:id="34"/>
    <w:bookmarkStart w:id="35" w:name="Xab4876c5788227076138c210861f9a7fecf323f"/>
    <w:p>
      <w:pPr>
        <w:pStyle w:val="Heading3"/>
        <w:keepNext/>
        <w:keepLines/>
      </w:pPr>
      <w:r>
        <w:rPr>
          <w:color w:val="FF5F00"/>
        </w:rPr>
        <w:t xml:space="preserve">3.5 AI-Powered Marketing &amp; Loyalty Strategy (Dynamic Yield + SessionM)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help clients deploy personalization and loyalty agents that decide</w:t>
            </w:r>
            <w:r>
              <w:t xml:space="preserve"> </w:t>
            </w:r>
            <w:r>
              <w:t xml:space="preserve">“who gets what offer, when, and on which channel,”</w:t>
            </w:r>
            <w:r>
              <w:t xml:space="preserve"> </w:t>
            </w:r>
            <w:r>
              <w:t xml:space="preserve">optimizing CLV using real-time behavior and Mastercard spend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+ CHA agents demonstrate channel optimization patterns</w:t>
            </w:r>
          </w:p>
        </w:tc>
      </w:tr>
    </w:tbl>
    <w:bookmarkEnd w:id="35"/>
    <w:bookmarkStart w:id="36" w:name="X3dd200094999696d778bbb4144861fc0960ee3b"/>
    <w:p>
      <w:pPr>
        <w:pStyle w:val="Heading3"/>
        <w:keepNext/>
        <w:keepLines/>
      </w:pPr>
      <w:r>
        <w:rPr>
          <w:color w:val="FF5F00"/>
        </w:rPr>
        <w:t xml:space="preserve">3.6 AI Fraud, Cyber &amp; Risk Consulting (Decision Intelligence)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re-architect fraud programs around autonomous risk agents that score transactions, predict compromise, and triage cases, turning static rules into continuously learning defenses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collaboration patterns; real-time decision architecture</w:t>
            </w:r>
          </w:p>
        </w:tc>
      </w:tr>
    </w:tbl>
    <w:bookmarkEnd w:id="36"/>
    <w:bookmarkStart w:id="37" w:name="Xdb8d27f46a0a5392a395c89779d4dda199d8b7e"/>
    <w:p>
      <w:pPr>
        <w:pStyle w:val="Heading3"/>
        <w:keepNext/>
        <w:keepLines/>
      </w:pPr>
      <w:r>
        <w:rPr>
          <w:color w:val="FF5F00"/>
        </w:rPr>
        <w:t xml:space="preserve">3.7 Open Banking &amp; Data Collaboration Strategy (Finicity + Clean Rooms)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design agent workflows that pull open-banking data, analyze cash-flow, and trigger credit/underwriting or payment decisions, while other agents manage secure, privacy-preserving data collaboration in clean rooms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 framework; session isolation patterns</w:t>
            </w:r>
          </w:p>
        </w:tc>
      </w:tr>
    </w:tbl>
    <w:bookmarkEnd w:id="37"/>
    <w:bookmarkStart w:id="38" w:name="X333b3af6fe480e81629d892d995ef588f9126af"/>
    <w:p>
      <w:pPr>
        <w:pStyle w:val="Heading3"/>
        <w:keepNext/>
        <w:keepLines/>
      </w:pPr>
      <w:r>
        <w:rPr>
          <w:color w:val="FF5F00"/>
        </w:rPr>
        <w:t xml:space="preserve">3.8 Economics &amp; Scenario Consulting (Economics Institute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 agents combine Mastercard spend data with macro models to continuously produce</w:t>
            </w:r>
            <w:r>
              <w:t xml:space="preserve"> </w:t>
            </w:r>
            <w:r>
              <w:t xml:space="preserve">“what-if”</w:t>
            </w:r>
            <w:r>
              <w:t xml:space="preserve"> </w:t>
            </w:r>
            <w:r>
              <w:t xml:space="preserve">portfolio and market outlooks for clients, rather than occasional static reports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agent scenario modeling capabilities</w:t>
            </w:r>
          </w:p>
        </w:tc>
      </w:tr>
    </w:tbl>
    <w:bookmarkEnd w:id="38"/>
    <w:bookmarkStart w:id="39" w:name="Xd6f41efac345821c6cc9030ff92632df0055b9c"/>
    <w:p>
      <w:pPr>
        <w:pStyle w:val="Heading3"/>
        <w:keepNext/>
        <w:keepLines/>
      </w:pPr>
      <w:r>
        <w:rPr>
          <w:color w:val="FF5F00"/>
        </w:rPr>
        <w:t xml:space="preserve">3.9 Digital Labs &amp; Agentic Co-Creation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with expansion potential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Clients co-design new agentic products (SME cash-flow coach agents, travel booking agents) in Mastercard labs; prototype agents show value quickly and then scale via Mastercard platforms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Rapid agent development patterns; shared orchestration</w:t>
            </w:r>
          </w:p>
        </w:tc>
      </w:tr>
    </w:tbl>
    <w:bookmarkEnd w:id="39"/>
    <w:bookmarkStart w:id="40" w:name="Xd44ca870cf81eb9d2887c8670c9435c40f978eb"/>
    <w:p>
      <w:pPr>
        <w:pStyle w:val="Heading3"/>
        <w:keepNext/>
        <w:keepLines/>
      </w:pPr>
      <w:r>
        <w:rPr>
          <w:color w:val="FF5F00"/>
        </w:rPr>
        <w:t xml:space="preserve">3.10 Data Strategy &amp; Management Advisory (Agent-Ready Data Foundations)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restructure client data (models, governance, lineage) specifically so agents can safely read/write across systems, enforcing policies via data-access agents instead of manual controls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 framework; Dataverse patterns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network-payments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4. NETWORK &amp; PAYMENTS OPPORTUNITIES</w:t>
      </w:r>
    </w:p>
    <w:bookmarkStart w:id="42" w:name="agent-pay-agentic-commerce-suite"/>
    <w:p>
      <w:pPr>
        <w:pStyle w:val="Heading3"/>
        <w:keepNext/>
        <w:keepLines/>
      </w:pPr>
      <w:r>
        <w:rPr>
          <w:color w:val="FF5F00"/>
        </w:rPr>
        <w:t xml:space="preserve">4.1 Agent Pay / Agentic Commerce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High-1B+/year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Payment agents verify intent, authenticate themselves, and orchestrate tokenized transactions on behalf of consumers and businesses, creating a standard way for agents to</w:t>
            </w:r>
            <w:r>
              <w:t xml:space="preserve"> </w:t>
            </w:r>
            <w:r>
              <w:t xml:space="preserve">“pay”</w:t>
            </w:r>
            <w:r>
              <w:t xml:space="preserve"> </w:t>
            </w:r>
            <w:r>
              <w:t xml:space="preserve">over Mastercard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 and session patterns; secure state management</w:t>
            </w:r>
          </w:p>
        </w:tc>
      </w:tr>
    </w:tbl>
    <w:bookmarkEnd w:id="42"/>
    <w:bookmarkStart w:id="43" w:name="cognitive-payment-director"/>
    <w:p>
      <w:pPr>
        <w:pStyle w:val="Heading3"/>
        <w:keepNext/>
        <w:keepLines/>
      </w:pPr>
      <w:r>
        <w:rPr>
          <w:color w:val="FF5F00"/>
        </w:rPr>
        <w:t xml:space="preserve">4.2 Cognitive Payment Director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and decision agents evaluate each authorization in real time, choosing the route, message structure, and retry strategy that maximizes approval probability at lowest cost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Real-time decision patterns; capability dispatcher</w:t>
            </w:r>
          </w:p>
        </w:tc>
      </w:tr>
    </w:tbl>
    <w:bookmarkEnd w:id="43"/>
    <w:bookmarkStart w:id="44" w:name="X918082186b3326d0613251191fb90781cc70e62"/>
    <w:p>
      <w:pPr>
        <w:pStyle w:val="Heading3"/>
        <w:keepNext/>
        <w:keepLines/>
      </w:pPr>
      <w:r>
        <w:rPr>
          <w:color w:val="FF5F00"/>
        </w:rPr>
        <w:t xml:space="preserve">4.3 Autonomous Treasury &amp; Cross-Border Agents (Move)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Treasury agents monitor flows, FX, and balances continuously, scheduling payments and currency conversion to minimize cost and ensure liquidity without human intervention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Autonomous agent patterns; continuous monitoring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analytics-risk-platform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5. ANALYTICS &amp; RISK PLATFORM OPPORTUNITIES</w:t>
      </w:r>
    </w:p>
    <w:bookmarkStart w:id="46" w:name="autonomous-fraud-defense-platform"/>
    <w:p>
      <w:pPr>
        <w:pStyle w:val="Heading3"/>
        <w:keepNext/>
        <w:keepLines/>
      </w:pPr>
      <w:r>
        <w:rPr>
          <w:color w:val="FF5F00"/>
        </w:rPr>
        <w:t xml:space="preserve">5.1 Autonomous Fraud Defense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Revenue 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Fraud agents score transactions, predict compromised credentials, monitor merchants, and even gather evidence for investigations; they continuously retrain on new fraud patterns from network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Multi-agent collaboration; knowledge base updates</w:t>
            </w:r>
          </w:p>
        </w:tc>
      </w:tr>
    </w:tbl>
    <w:bookmarkEnd w:id="46"/>
    <w:bookmarkStart w:id="47" w:name="brighterion-multi-sector-risk-agents"/>
    <w:p>
      <w:pPr>
        <w:pStyle w:val="Heading3"/>
        <w:keepNext/>
        <w:keepLines/>
      </w:pPr>
      <w:r>
        <w:rPr>
          <w:color w:val="FF5F00"/>
        </w:rPr>
        <w:t xml:space="preserve">5.2 Brighterion Multi-Sector Risk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Domain-specific risk agents (credit, AML, healthcare) learn individual and network patterns to predict default, suspicious activity, and abuse, feeding decisions into client systems in near real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Vertical-specific agent patterns; industry knowledge bases</w:t>
            </w:r>
          </w:p>
        </w:tc>
      </w:tr>
    </w:tbl>
    <w:bookmarkEnd w:id="47"/>
    <w:bookmarkStart w:id="48" w:name="test-learn-agent-suite"/>
    <w:p>
      <w:pPr>
        <w:pStyle w:val="Heading3"/>
        <w:keepNext/>
        <w:keepLines/>
      </w:pPr>
      <w:r>
        <w:rPr>
          <w:color w:val="FF5F00"/>
        </w:rPr>
        <w:t xml:space="preserve">5.3 Test &amp; Learn Agent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Experiment agents translate business questions into tests, pick control/treatment, monitor KPIs, and return recommended actions, effectively running a continuous experimentation engine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agent attribution patterns; ANL statistical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7" w:name="X9064b4e3faba2b029376d86e9b362280c418ebb"/>
    <w:p>
      <w:pPr>
        <w:pStyle w:val="Heading2"/>
        <w:pageBreakBefore/>
        <w:keepNext/>
        <w:keepLines/>
      </w:pPr>
      <w:r>
        <w:rPr>
          <w:color w:val="FF5F00"/>
        </w:rPr>
        <w:t xml:space="preserve">6. MARKETING, ADVERTISING &amp; LOYALTY OPPORTUNITIES</w:t>
      </w:r>
    </w:p>
    <w:bookmarkStart w:id="50" w:name="commerce-media-intelligence-network"/>
    <w:p>
      <w:pPr>
        <w:pStyle w:val="Heading3"/>
        <w:keepNext/>
        <w:keepLines/>
      </w:pPr>
      <w:r>
        <w:rPr>
          <w:color w:val="FF5F00"/>
        </w:rPr>
        <w:t xml:space="preserve">6.1 Commerce Media Intelligence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Audience, bidding, and attribution agents decide which users to target, how much to bid, and how to reallocate budget based on actual purchase outcomes on the Mastercard network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segmentation; CHA channel optimization; ANL measurement</w:t>
            </w:r>
          </w:p>
        </w:tc>
      </w:tr>
    </w:tbl>
    <w:bookmarkEnd w:id="50"/>
    <w:bookmarkStart w:id="51" w:name="dynamic-yield-agentic-personalization"/>
    <w:p>
      <w:pPr>
        <w:pStyle w:val="Heading3"/>
        <w:keepNext/>
        <w:keepLines/>
      </w:pPr>
      <w:r>
        <w:rPr>
          <w:color w:val="FF5F00"/>
        </w:rPr>
        <w:t xml:space="preserve">6.2 Dynamic Yield Agentic Personalization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Real-time agents pick content, offers, and products per user and per session, using transaction and behavioral data; they also auto-run experiments and promote winning variants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Real-time decision patterns; A/B testing framework</w:t>
            </w:r>
          </w:p>
        </w:tc>
      </w:tr>
    </w:tbl>
    <w:bookmarkEnd w:id="51"/>
    <w:bookmarkStart w:id="52" w:name="Xbe9cc0ec05d43e3db9da9442c52bd08d37904f0"/>
    <w:p>
      <w:pPr>
        <w:pStyle w:val="Heading3"/>
        <w:keepNext/>
        <w:keepLines/>
      </w:pPr>
      <w:r>
        <w:rPr>
          <w:color w:val="FF5F00"/>
        </w:rPr>
        <w:t xml:space="preserve">6.3 Unified Marketing OS (DY + SessionM + Commerce Media + T&amp;L)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Orchestration agents coordinate decisions across personalization, loyalty, and media in one brain - optimizing at the customer level instead of per channel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 orchestration patterns; cross-agent collaboration</w:t>
            </w:r>
          </w:p>
        </w:tc>
      </w:tr>
    </w:tbl>
    <w:bookmarkEnd w:id="52"/>
    <w:bookmarkStart w:id="53" w:name="Xa2681adc2126dcad36490ffe64ab22340a275ae"/>
    <w:p>
      <w:pPr>
        <w:pStyle w:val="Heading3"/>
        <w:keepNext/>
        <w:keepLines/>
      </w:pPr>
      <w:r>
        <w:rPr>
          <w:color w:val="FF5F00"/>
        </w:rPr>
        <w:t xml:space="preserve">6.4 Marketing Services Automation (Agent-Augmented Managed Service)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agents build segments, creatives, and schedules, while optimization agents monitor and adjust campaigns, letting human consultants focus on strategy and client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agent document generation; AUD segmentation</w:t>
            </w:r>
          </w:p>
        </w:tc>
      </w:tr>
    </w:tbl>
    <w:bookmarkEnd w:id="53"/>
    <w:bookmarkStart w:id="54" w:name="audience-segmentation-platform"/>
    <w:p>
      <w:pPr>
        <w:pStyle w:val="Heading3"/>
        <w:keepNext/>
        <w:keepLines/>
      </w:pPr>
      <w:r>
        <w:rPr>
          <w:color w:val="FF5F00"/>
        </w:rPr>
        <w:t xml:space="preserve">6.5 Audience &amp; Segmentation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 agents learn fine-grained spending patterns, generate and refresh in-market audiences, and push them to ad platforms without exposing raw PII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 agent patterns; privacy-preserving design</w:t>
            </w:r>
          </w:p>
        </w:tc>
      </w:tr>
    </w:tbl>
    <w:bookmarkEnd w:id="54"/>
    <w:bookmarkStart w:id="55" w:name="loyalty-optimizer-agentic-retention"/>
    <w:p>
      <w:pPr>
        <w:pStyle w:val="Heading3"/>
        <w:keepNext/>
        <w:keepLines/>
      </w:pPr>
      <w:r>
        <w:rPr>
          <w:color w:val="FF5F00"/>
        </w:rPr>
        <w:t xml:space="preserve">6.6 Loyalty Optimizer &amp; Agentic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Retention agents detect churn risk early and automatically choose which incentive (or intervention) to offer each customer to maximize lifetime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modeling; proactive intelligence patterns</w:t>
            </w:r>
          </w:p>
        </w:tc>
      </w:tr>
    </w:tbl>
    <w:bookmarkEnd w:id="55"/>
    <w:bookmarkStart w:id="56" w:name="clean-room-collaboration-services"/>
    <w:p>
      <w:pPr>
        <w:pStyle w:val="Heading3"/>
        <w:keepNext/>
        <w:keepLines/>
      </w:pPr>
      <w:r>
        <w:rPr>
          <w:color w:val="FF5F00"/>
        </w:rPr>
        <w:t xml:space="preserve">6.7 Clean Room Collaboration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manage matching, run privacy-safe queries, and generate aggregated insights inside the clean room, so humans don’t need to hand-craft every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provenance; secure computation patterns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2" w:name="data-services-open-banking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7. DATA SERVICES &amp; OPEN BANKING OPPORTUNITIES</w:t>
      </w:r>
    </w:p>
    <w:bookmarkStart w:id="58" w:name="X50e9d1913ae484549fd36a5753ba36c0ec3dd98"/>
    <w:p>
      <w:pPr>
        <w:pStyle w:val="Heading3"/>
        <w:keepNext/>
        <w:keepLines/>
      </w:pPr>
      <w:r>
        <w:rPr>
          <w:color w:val="FF5F00"/>
        </w:rPr>
        <w:t xml:space="preserve">7.1 SpendingPulse Conversational Intelligence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Insight agents sit over SpendingPulse and answer natural-language questions, build charts, and explain trends, rather than clients hiring analysts to mine the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Conversational patterns; knowledge retrieval</w:t>
            </w:r>
          </w:p>
        </w:tc>
      </w:tr>
    </w:tbl>
    <w:bookmarkEnd w:id="58"/>
    <w:bookmarkStart w:id="59" w:name="X61915ab33e588a4e3b265aaa73f178efa515dcf"/>
    <w:p>
      <w:pPr>
        <w:pStyle w:val="Heading3"/>
        <w:keepNext/>
        <w:keepLines/>
      </w:pPr>
      <w:r>
        <w:rPr>
          <w:color w:val="FF5F00"/>
        </w:rPr>
        <w:t xml:space="preserve">7.2 Open Banking Orchestration (Finicity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agents manage consent, pull bank data, and analyze cash-flow to drive instant credit, KYC, or payment decisions without manual underwriting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management; secure data handling</w:t>
            </w:r>
          </w:p>
        </w:tc>
      </w:tr>
    </w:tbl>
    <w:bookmarkEnd w:id="59"/>
    <w:bookmarkStart w:id="60" w:name="Xd6ec3f8b4d2098feb4befe2700264212c34237c"/>
    <w:p>
      <w:pPr>
        <w:pStyle w:val="Heading3"/>
        <w:keepNext/>
        <w:keepLines/>
      </w:pPr>
      <w:r>
        <w:rPr>
          <w:color w:val="FF5F00"/>
        </w:rPr>
        <w:t xml:space="preserve">7.3 Consumer &amp; Merchant Data APIs (Agent-Exposed 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Embedded agents turn raw Mastercard data into ready-to-use signals (risk scores, propensity scores) that client systems can call via APIs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abstraction; standardized outputs</w:t>
            </w:r>
          </w:p>
        </w:tc>
      </w:tr>
    </w:tbl>
    <w:bookmarkEnd w:id="60"/>
    <w:bookmarkStart w:id="61" w:name="X9470b844d3e282ac2ae7c04cfbddba5ec7a022d"/>
    <w:p>
      <w:pPr>
        <w:pStyle w:val="Heading3"/>
        <w:keepNext/>
        <w:keepLines/>
      </w:pPr>
      <w:r>
        <w:rPr>
          <w:color w:val="FF5F00"/>
        </w:rPr>
        <w:t xml:space="preserve">7.4 Economic Intelligence Platform &amp; Scenario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 agents continuously update forecasts and stress tests using live spend data and external macro inputs, instead of periodic manual modelling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scenario capabilities; continuous refresh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internal-efficiency-opportunities"/>
    <w:p>
      <w:pPr>
        <w:pStyle w:val="Heading2"/>
        <w:pageBreakBefore/>
        <w:keepNext/>
        <w:keepLines/>
      </w:pPr>
      <w:r>
        <w:rPr>
          <w:color w:val="FF5F00"/>
        </w:rPr>
        <w:t xml:space="preserve">8. INTERNAL EFFICIENCY OPPORTUNITIES</w:t>
      </w:r>
    </w:p>
    <w:bookmarkStart w:id="63" w:name="sales-intelligence-proposal-agents"/>
    <w:p>
      <w:pPr>
        <w:pStyle w:val="Heading3"/>
        <w:keepNext/>
        <w:keepLines/>
      </w:pPr>
      <w:r>
        <w:rPr>
          <w:color w:val="FF5F00"/>
        </w:rPr>
        <w:t xml:space="preserve">8.1 Sales Intelligence &amp; Proposal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Supports High incremental/retained revenue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 watch account behavior, suggest next products to pitch, and generate tailored decks/RFP responses, raising hit rates per seller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agent generation; MKT competitive intelligence</w:t>
            </w:r>
          </w:p>
        </w:tc>
      </w:tr>
    </w:tbl>
    <w:bookmarkEnd w:id="63"/>
    <w:bookmarkStart w:id="64" w:name="X6f4b5bb7aba9390e67a2ce31f745d4dbaadf3f1"/>
    <w:p>
      <w:pPr>
        <w:pStyle w:val="Heading3"/>
        <w:keepNext/>
        <w:keepLines/>
      </w:pPr>
      <w:r>
        <w:rPr>
          <w:color w:val="FF5F00"/>
        </w:rPr>
        <w:t xml:space="preserve">8.2 Enterprise-Wide Internal Agents (Ops, Finance, HR, Compliance)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Detail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equivalent savings/capacity at scale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Back-office agents process invoices, reconcile data, screen sanctions, and handle routine HR/IT requests, shrinking cycle times and manual effort across the company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factory model; shared infrastructure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implementation-roadmap"/>
    <w:p>
      <w:pPr>
        <w:pStyle w:val="Heading2"/>
        <w:pageBreakBefore/>
        <w:keepNext/>
        <w:keepLines/>
      </w:pPr>
      <w:r>
        <w:rPr>
          <w:color w:val="FF5F00"/>
        </w:rPr>
        <w:t xml:space="preserve">9. IMPLEMENTATION ROADMAP</w:t>
      </w:r>
    </w:p>
    <w:bookmarkStart w:id="66" w:name="phase-1-foundation-q1-q2-2026"/>
    <w:p>
      <w:pPr>
        <w:pStyle w:val="Heading3"/>
        <w:keepNext/>
        <w:keepLines/>
      </w:pPr>
      <w:r>
        <w:rPr>
          <w:color w:val="FF5F00"/>
        </w:rPr>
        <w:t xml:space="preserve">Phase 1: Foundation (Q1-Q2 2026)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Expand MCMAP to Advisors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CST, CHG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Fraud Agent Pilot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agent on 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Internal Sales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+ MKT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66"/>
    <w:bookmarkStart w:id="67" w:name="phase-2-scale-q3-q4-2026"/>
    <w:p>
      <w:pPr>
        <w:pStyle w:val="Heading3"/>
        <w:keepNext/>
        <w:keepLines/>
      </w:pPr>
      <w:r>
        <w:rPr>
          <w:color w:val="FF5F00"/>
        </w:rPr>
        <w:t xml:space="preserve">Phase 2: Scale (Q3-Q4 2026)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Commerce Media Integration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 + CHA expansion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Treasury Agent Prototype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Marketing Automation Suite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MPA 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</w:tbl>
    <w:bookmarkEnd w:id="67"/>
    <w:bookmarkStart w:id="68" w:name="phase-3-transform-2027"/>
    <w:p>
      <w:pPr>
        <w:pStyle w:val="Heading3"/>
        <w:keepNext/>
        <w:keepLines/>
      </w:pPr>
      <w:r>
        <w:rPr>
          <w:color w:val="FF5F00"/>
        </w:rPr>
        <w:t xml:space="preserve">Phase 3: Transform (2027)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Initiative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Pay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New capability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Unified Marketing 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Cross-agent 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Client-Facing Agent Factory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White-label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3" w:name="strategic-summary"/>
    <w:p>
      <w:pPr>
        <w:pStyle w:val="Heading2"/>
        <w:pageBreakBefore/>
        <w:keepNext/>
        <w:keepLines/>
      </w:pPr>
      <w:r>
        <w:rPr>
          <w:color w:val="FF5F00"/>
        </w:rPr>
        <w:t xml:space="preserve">10. STRATEGIC SUMMARY</w:t>
      </w:r>
    </w:p>
    <w:bookmarkStart w:id="70" w:name="total-addressable-opportunity"/>
    <w:p>
      <w:pPr>
        <w:pStyle w:val="Heading3"/>
        <w:keepNext/>
        <w:keepLines/>
      </w:pPr>
      <w:r>
        <w:rPr>
          <w:color w:val="FF5F00"/>
        </w:rPr>
        <w:t xml:space="preserve">Total Addressable Opportunity</w:t>
      </w:r>
    </w:p>
    <w:p>
      <w:pPr>
        <w:pStyle w:val="FirstParagraph"/>
      </w:pPr>
      <w:r>
        <w:t xml:space="preserve">MCMAP creates significant revenue potential across all categories through the agent factory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52"/>
        <w:gridCol w:w="2950"/>
        <w:gridCol w:w="341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Opportunity 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Value Driver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Advisors &amp;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implementation practice, transformation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Network &amp; Payments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Agentic commerce, cognitive payment routing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&amp; Risk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Autonomous fraud defense, continuous risk monitoring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&amp; Loyalty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Very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Commerce media, unified personalization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Services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Internal Efficiency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Significant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bookmarkEnd w:id="70"/>
    <w:bookmarkStart w:id="71" w:name="mcmap-platform-leverage"/>
    <w:p>
      <w:pPr>
        <w:pStyle w:val="Heading3"/>
        <w:keepNext/>
        <w:keepLines/>
      </w:pPr>
      <w:r>
        <w:rPr>
          <w:color w:val="FF5F00"/>
        </w:rPr>
        <w:t xml:space="preserve">MCMAP Platform Leverage</w:t>
      </w:r>
    </w:p>
    <w:p>
      <w:pPr>
        <w:pStyle w:val="FirstParagraph"/>
      </w:pPr>
      <w:r>
        <w:t xml:space="preserve">The platform architecture creates compounding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88"/>
        <w:gridCol w:w="313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Investment Characteristic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Advantage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Foundation Already Built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infrastructure ready for expansion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Cost Decreasing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Each new agent leverages existing components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Infrastructure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Enterprise scale achieved with minimal incremental cost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Pre-Approved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 compliance inherited by all new agents</w:t>
            </w:r>
          </w:p>
        </w:tc>
      </w:tr>
    </w:tbl>
    <w:bookmarkEnd w:id="71"/>
    <w:bookmarkStart w:id="72" w:name="the-strategic-imperative"/>
    <w:p>
      <w:pPr>
        <w:pStyle w:val="Heading3"/>
        <w:keepNext/>
        <w:keepLines/>
      </w:pPr>
      <w:r>
        <w:rPr>
          <w:color w:val="FF5F00"/>
        </w:rPr>
        <w:t xml:space="preserve">The Strategic Imperative</w:t>
      </w:r>
    </w:p>
    <w:p>
      <w:pPr>
        <w:pStyle w:val="BlockText"/>
      </w:pPr>
      <w:r>
        <w:t xml:space="preserve">“Don’t evaluate MCMAP as a media planning solution. Evaluate it as</w:t>
      </w:r>
      <w:r>
        <w:t xml:space="preserve"> </w:t>
      </w:r>
      <w:r>
        <w:rPr>
          <w:b/>
          <w:bCs/>
        </w:rPr>
        <w:t xml:space="preserve">enterprise AI infrastructure</w:t>
      </w:r>
      <w:r>
        <w:t xml:space="preserve">. The question isn’t whether we want a better media planning tool. The question is: Do we want to own the platform that transforms how enterprise AI agents are built, deployed, and monetized?”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72"/>
    <w:bookmarkEnd w:id="73"/>
    <w:bookmarkEnd w:id="74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2026-01-26T15:30:24Z</dcterms:created>
  <dcterms:modified xsi:type="dcterms:W3CDTF">2026-01-26T15:30:24Z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